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C529" w14:textId="77777777" w:rsidR="001355DA" w:rsidRDefault="00000000">
      <w:pPr>
        <w:spacing w:after="100"/>
        <w:jc w:val="center"/>
      </w:pPr>
      <w:r>
        <w:rPr>
          <w:b/>
          <w:bCs/>
          <w:color w:val="1F3864"/>
          <w:sz w:val="48"/>
          <w:szCs w:val="48"/>
        </w:rPr>
        <w:t>PROTOCOLE EXPÉRIMENTAL</w:t>
      </w:r>
    </w:p>
    <w:p w14:paraId="731E1065" w14:textId="0AF748C0" w:rsidR="005466D8" w:rsidRDefault="005466D8" w:rsidP="005466D8">
      <w:pPr>
        <w:pStyle w:val="Titre1"/>
        <w:shd w:val="clear" w:color="auto" w:fill="FFFFFF"/>
        <w:spacing w:before="0" w:after="252"/>
        <w:rPr>
          <w:rFonts w:ascii="Montserrat" w:hAnsi="Montserrat"/>
          <w:color w:val="1A1A1A"/>
        </w:rPr>
      </w:pPr>
      <w:r>
        <w:rPr>
          <w:color w:val="2E5090"/>
        </w:rPr>
        <w:t xml:space="preserve">Journal de bord d’une rénovation énergétique </w:t>
      </w:r>
    </w:p>
    <w:p w14:paraId="72E0A516" w14:textId="6367E182" w:rsidR="001355DA" w:rsidRDefault="001355DA">
      <w:pPr>
        <w:spacing w:after="200"/>
        <w:jc w:val="center"/>
      </w:pPr>
    </w:p>
    <w:p w14:paraId="2F2A2C1D" w14:textId="77777777" w:rsidR="001355DA" w:rsidRDefault="001355DA" w:rsidP="00E01301">
      <w:pPr>
        <w:pBdr>
          <w:bottom w:val="single" w:sz="12" w:space="0" w:color="1F3864"/>
        </w:pBdr>
        <w:spacing w:after="300"/>
      </w:pPr>
    </w:p>
    <w:p w14:paraId="7FEB1665" w14:textId="77777777" w:rsidR="001355DA" w:rsidRDefault="00000000">
      <w:pPr>
        <w:spacing w:after="600"/>
        <w:jc w:val="center"/>
      </w:pPr>
      <w:r>
        <w:rPr>
          <w:i/>
          <w:iCs/>
          <w:color w:val="404040"/>
          <w:sz w:val="24"/>
          <w:szCs w:val="24"/>
        </w:rPr>
        <w:t>Étude du parcours de rénovation d'un appartement témoin, pour mesurer l'écart entre les procédures prescrites et la réalité du terrain.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1355DA" w14:paraId="0854793E" w14:textId="77777777">
        <w:tc>
          <w:tcPr>
            <w:tcW w:w="0" w:type="auto"/>
            <w:tcBorders>
              <w:top w:val="single" w:sz="1" w:space="0" w:color="2E5090"/>
              <w:left w:val="single" w:sz="12" w:space="0" w:color="2E5090"/>
              <w:bottom w:val="single" w:sz="1" w:space="0" w:color="2E5090"/>
              <w:right w:val="single" w:sz="1" w:space="0" w:color="2E5090"/>
            </w:tcBorders>
            <w:shd w:val="clear" w:color="auto" w:fill="F0F4F8"/>
            <w:tcMar>
              <w:top w:w="200" w:type="dxa"/>
              <w:left w:w="200" w:type="dxa"/>
              <w:bottom w:w="200" w:type="dxa"/>
              <w:right w:w="200" w:type="dxa"/>
            </w:tcMar>
          </w:tcPr>
          <w:p w14:paraId="78C713EE" w14:textId="77777777" w:rsidR="001355DA" w:rsidRDefault="00000000">
            <w:pPr>
              <w:spacing w:after="120"/>
            </w:pPr>
            <w:r>
              <w:t>Ce projet analyse concrètement les obstacles de la politique du logement en suivant pas à pas la rénovation d'un appartement parisien témoin. Pour comprendre ce qui grippe le système, l'étude croise trois méthodes : elle utilise l'appartement comme un « traceur » pour documenter la réalité du parcours (travaux, aides, démarches), elle consulte un panel d'experts (artisans, syndics, administration) pour débloquer les situations complexes via la méthode Delphi, et elle s'appuie sur une analyse managériale (inspirée de Henri Fayol) pour transformer les échecs de gestion constatés en solutions pratiques pour l'avenir.</w:t>
            </w:r>
          </w:p>
        </w:tc>
      </w:tr>
    </w:tbl>
    <w:p w14:paraId="2BBBE2AB" w14:textId="77777777" w:rsidR="001355DA" w:rsidRDefault="001355DA" w:rsidP="00E01301">
      <w:pPr>
        <w:spacing w:after="400"/>
      </w:pPr>
    </w:p>
    <w:p w14:paraId="61F374DD" w14:textId="77777777" w:rsidR="001355DA" w:rsidRDefault="00000000">
      <w:pPr>
        <w:pStyle w:val="Titre1"/>
      </w:pPr>
      <w:r>
        <w:t>1. Principe directeur : une observation en boucle</w:t>
      </w:r>
    </w:p>
    <w:p w14:paraId="53D72BB5" w14:textId="77777777" w:rsidR="001355DA" w:rsidRDefault="00000000">
      <w:pPr>
        <w:spacing w:after="200"/>
      </w:pPr>
      <w:r>
        <w:t>L'étude repose sur trois approches articulées entre elles.</w:t>
      </w:r>
    </w:p>
    <w:p w14:paraId="00B4AE67" w14:textId="77777777" w:rsidR="001355DA" w:rsidRDefault="00000000">
      <w:pPr>
        <w:spacing w:after="150"/>
      </w:pPr>
      <w:r>
        <w:rPr>
          <w:b/>
          <w:bCs/>
        </w:rPr>
        <w:t>Le Traceur</w:t>
      </w:r>
      <w:r>
        <w:t xml:space="preserve"> documente le parcours en continu, de la libération de l'appartement jusqu'à son occupation effective. Il enregistre les faits bruts : délais, échanges, démarches, silences.</w:t>
      </w:r>
    </w:p>
    <w:p w14:paraId="2E934B42" w14:textId="77777777" w:rsidR="001355DA" w:rsidRDefault="00000000">
      <w:pPr>
        <w:spacing w:after="150"/>
      </w:pPr>
      <w:r>
        <w:rPr>
          <w:b/>
          <w:bCs/>
        </w:rPr>
        <w:t>Le Delphi</w:t>
      </w:r>
      <w:r>
        <w:t xml:space="preserve"> intervient ponctuellement, lorsqu'un blocage apparaît. La question est alors soumise à un panel d'experts pour rechercher un consensus ou identifier clairement les points de désaccord.</w:t>
      </w:r>
    </w:p>
    <w:p w14:paraId="63BAF266" w14:textId="77777777" w:rsidR="001355DA" w:rsidRDefault="00000000">
      <w:pPr>
        <w:spacing w:after="150"/>
      </w:pPr>
      <w:r>
        <w:rPr>
          <w:b/>
          <w:bCs/>
        </w:rPr>
        <w:t>Le Fayol</w:t>
      </w:r>
      <w:r>
        <w:t xml:space="preserve"> prend le relais pour gérer les décisions issues du Delphi, documenter les échecs constatés et en tirer les enseignements. Cette phase relance la boucle : le Traceur reprend son cours avec un parcours actualisé.</w:t>
      </w:r>
    </w:p>
    <w:p w14:paraId="15F22D14" w14:textId="77777777" w:rsidR="001355DA" w:rsidRDefault="00000000">
      <w:pPr>
        <w:spacing w:after="400"/>
      </w:pPr>
      <w:r>
        <w:rPr>
          <w:i/>
          <w:iCs/>
        </w:rPr>
        <w:t>Ce cycle se répète autant de fois que nécessaire jusqu'à l'aboutissement du projet.</w:t>
      </w:r>
    </w:p>
    <w:p w14:paraId="06B8175C" w14:textId="77777777" w:rsidR="001355DA" w:rsidRDefault="00000000">
      <w:pPr>
        <w:pStyle w:val="Titre1"/>
      </w:pPr>
      <w:r>
        <w:t>2. L'appartement témoin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4"/>
        <w:gridCol w:w="6512"/>
      </w:tblGrid>
      <w:tr w:rsidR="001355DA" w14:paraId="55C075BD" w14:textId="77777777">
        <w:tc>
          <w:tcPr>
            <w:tcW w:w="2500" w:type="dxa"/>
            <w:tcBorders>
              <w:bottom w:val="single" w:sz="1" w:space="0" w:color="DDDDDD"/>
            </w:tcBorders>
            <w:tcMar>
              <w:top w:w="80" w:type="dxa"/>
              <w:left w:w="0" w:type="dxa"/>
              <w:bottom w:w="80" w:type="dxa"/>
              <w:right w:w="120" w:type="dxa"/>
            </w:tcMar>
          </w:tcPr>
          <w:p w14:paraId="5F64D5A6" w14:textId="77777777" w:rsidR="001355DA" w:rsidRDefault="00000000">
            <w:r>
              <w:rPr>
                <w:b/>
                <w:bCs/>
              </w:rPr>
              <w:t>Localisation</w:t>
            </w:r>
          </w:p>
        </w:tc>
        <w:tc>
          <w:tcPr>
            <w:tcW w:w="6500" w:type="dxa"/>
            <w:tcBorders>
              <w:bottom w:val="single" w:sz="1" w:space="0" w:color="DDDDDD"/>
            </w:tcBorders>
            <w:tcMar>
              <w:top w:w="80" w:type="dxa"/>
              <w:left w:w="120" w:type="dxa"/>
              <w:bottom w:w="80" w:type="dxa"/>
              <w:right w:w="0" w:type="dxa"/>
            </w:tcMar>
          </w:tcPr>
          <w:p w14:paraId="3A65281B" w14:textId="77777777" w:rsidR="001355DA" w:rsidRDefault="00000000">
            <w:r>
              <w:t>Paris 17ᵉ, secteur Guy Môquet</w:t>
            </w:r>
          </w:p>
        </w:tc>
      </w:tr>
      <w:tr w:rsidR="001355DA" w14:paraId="649CE5BD" w14:textId="77777777">
        <w:tc>
          <w:tcPr>
            <w:tcW w:w="2500" w:type="dxa"/>
            <w:tcBorders>
              <w:bottom w:val="single" w:sz="1" w:space="0" w:color="DDDDDD"/>
            </w:tcBorders>
            <w:tcMar>
              <w:top w:w="80" w:type="dxa"/>
              <w:left w:w="0" w:type="dxa"/>
              <w:bottom w:w="80" w:type="dxa"/>
              <w:right w:w="120" w:type="dxa"/>
            </w:tcMar>
          </w:tcPr>
          <w:p w14:paraId="5371BD02" w14:textId="77777777" w:rsidR="001355DA" w:rsidRDefault="00000000">
            <w:r>
              <w:rPr>
                <w:b/>
                <w:bCs/>
              </w:rPr>
              <w:t>Type</w:t>
            </w:r>
          </w:p>
        </w:tc>
        <w:tc>
          <w:tcPr>
            <w:tcW w:w="6500" w:type="dxa"/>
            <w:tcBorders>
              <w:bottom w:val="single" w:sz="1" w:space="0" w:color="DDDDDD"/>
            </w:tcBorders>
            <w:tcMar>
              <w:top w:w="80" w:type="dxa"/>
              <w:left w:w="120" w:type="dxa"/>
              <w:bottom w:w="80" w:type="dxa"/>
              <w:right w:w="0" w:type="dxa"/>
            </w:tcMar>
          </w:tcPr>
          <w:p w14:paraId="4D6CDE67" w14:textId="77777777" w:rsidR="001355DA" w:rsidRDefault="00000000">
            <w:r>
              <w:t>T2 de 39,75 m²</w:t>
            </w:r>
          </w:p>
        </w:tc>
      </w:tr>
      <w:tr w:rsidR="001355DA" w14:paraId="10B3AE24" w14:textId="77777777">
        <w:tc>
          <w:tcPr>
            <w:tcW w:w="2500" w:type="dxa"/>
            <w:tcBorders>
              <w:bottom w:val="single" w:sz="1" w:space="0" w:color="DDDDDD"/>
            </w:tcBorders>
            <w:tcMar>
              <w:top w:w="80" w:type="dxa"/>
              <w:left w:w="0" w:type="dxa"/>
              <w:bottom w:w="80" w:type="dxa"/>
              <w:right w:w="120" w:type="dxa"/>
            </w:tcMar>
          </w:tcPr>
          <w:p w14:paraId="72267912" w14:textId="77777777" w:rsidR="001355DA" w:rsidRDefault="00000000">
            <w:r>
              <w:rPr>
                <w:b/>
                <w:bCs/>
              </w:rPr>
              <w:t>État initial</w:t>
            </w:r>
          </w:p>
        </w:tc>
        <w:tc>
          <w:tcPr>
            <w:tcW w:w="6500" w:type="dxa"/>
            <w:tcBorders>
              <w:bottom w:val="single" w:sz="1" w:space="0" w:color="DDDDDD"/>
            </w:tcBorders>
            <w:tcMar>
              <w:top w:w="80" w:type="dxa"/>
              <w:left w:w="120" w:type="dxa"/>
              <w:bottom w:w="80" w:type="dxa"/>
              <w:right w:w="0" w:type="dxa"/>
            </w:tcMar>
          </w:tcPr>
          <w:p w14:paraId="48FF9994" w14:textId="6E6E7778" w:rsidR="001355DA" w:rsidRDefault="00000000">
            <w:r>
              <w:t>Libéré le 10 novembre 202</w:t>
            </w:r>
            <w:r w:rsidR="002A5908">
              <w:t>5</w:t>
            </w:r>
            <w:r>
              <w:t>, inoccupé, classé G</w:t>
            </w:r>
          </w:p>
        </w:tc>
      </w:tr>
      <w:tr w:rsidR="001355DA" w14:paraId="578AB213" w14:textId="77777777">
        <w:tc>
          <w:tcPr>
            <w:tcW w:w="2500" w:type="dxa"/>
            <w:tcBorders>
              <w:bottom w:val="single" w:sz="1" w:space="0" w:color="DDDDDD"/>
            </w:tcBorders>
            <w:tcMar>
              <w:top w:w="80" w:type="dxa"/>
              <w:left w:w="0" w:type="dxa"/>
              <w:bottom w:w="80" w:type="dxa"/>
              <w:right w:w="120" w:type="dxa"/>
            </w:tcMar>
          </w:tcPr>
          <w:p w14:paraId="582C59B8" w14:textId="77777777" w:rsidR="001355DA" w:rsidRDefault="00000000">
            <w:r>
              <w:rPr>
                <w:b/>
                <w:bCs/>
              </w:rPr>
              <w:t>Périmètre</w:t>
            </w:r>
          </w:p>
        </w:tc>
        <w:tc>
          <w:tcPr>
            <w:tcW w:w="6500" w:type="dxa"/>
            <w:tcBorders>
              <w:bottom w:val="single" w:sz="1" w:space="0" w:color="DDDDDD"/>
            </w:tcBorders>
            <w:tcMar>
              <w:top w:w="80" w:type="dxa"/>
              <w:left w:w="120" w:type="dxa"/>
              <w:bottom w:w="80" w:type="dxa"/>
              <w:right w:w="0" w:type="dxa"/>
            </w:tcMar>
          </w:tcPr>
          <w:p w14:paraId="387ABBFD" w14:textId="77777777" w:rsidR="001355DA" w:rsidRDefault="00000000">
            <w:r>
              <w:t>De la libération jusqu'à l'occupation effective post-travaux</w:t>
            </w:r>
          </w:p>
        </w:tc>
      </w:tr>
    </w:tbl>
    <w:p w14:paraId="7EDE6295" w14:textId="77777777" w:rsidR="001355DA" w:rsidRDefault="00000000">
      <w:pPr>
        <w:spacing w:before="200" w:after="400"/>
      </w:pPr>
      <w:r>
        <w:rPr>
          <w:b/>
          <w:bCs/>
        </w:rPr>
        <w:t xml:space="preserve">Postulat : </w:t>
      </w:r>
      <w:r>
        <w:t>l'appartement est passif. L'étude ne force pas le destin mais documente la réalité du marché : délais réels des artisans, des administrations, des syndics, des assurances.</w:t>
      </w:r>
    </w:p>
    <w:p w14:paraId="3478EC9C" w14:textId="77777777" w:rsidR="001355DA" w:rsidRDefault="00000000">
      <w:pPr>
        <w:pStyle w:val="Titre1"/>
      </w:pPr>
      <w:r>
        <w:lastRenderedPageBreak/>
        <w:t>3. Gestion des imprévus structurants</w:t>
      </w:r>
    </w:p>
    <w:p w14:paraId="1E19E787" w14:textId="77777777" w:rsidR="001355DA" w:rsidRDefault="00000000">
      <w:pPr>
        <w:spacing w:after="400"/>
      </w:pPr>
      <w:r>
        <w:t>Lorsqu'un obstacle technique ou juridique empêche de poursuivre le parcours principal (exemple : une infiltration à traiter avant toute rénovation énergétique), un sous-parcours est ouvert. Il suit la même logique Traceur-Delphi-Fayol et produit ses propres livrables. Le parcours principal reprend une fois le sous-parcours clôturé.</w:t>
      </w:r>
    </w:p>
    <w:p w14:paraId="62D3EB20" w14:textId="77777777" w:rsidR="001355DA" w:rsidRDefault="00000000">
      <w:pPr>
        <w:pStyle w:val="Titre1"/>
      </w:pPr>
      <w:r>
        <w:t>4. Le panel décisionnel</w:t>
      </w:r>
    </w:p>
    <w:p w14:paraId="76F01698" w14:textId="77777777" w:rsidR="001355DA" w:rsidRDefault="00000000">
      <w:pPr>
        <w:spacing w:after="200"/>
      </w:pPr>
      <w:r>
        <w:t>La méthode mobilise deux cercles distincts pour confronter la norme à la réalité.</w:t>
      </w:r>
    </w:p>
    <w:p w14:paraId="739FBB9A" w14:textId="77777777" w:rsidR="001355DA" w:rsidRDefault="00000000">
      <w:pPr>
        <w:pStyle w:val="Titre2"/>
      </w:pPr>
      <w:r>
        <w:t>Le Cercle Opérationnel</w:t>
      </w:r>
    </w:p>
    <w:p w14:paraId="51ED02D9" w14:textId="77777777" w:rsidR="001355DA" w:rsidRDefault="00000000">
      <w:pPr>
        <w:spacing w:after="200"/>
      </w:pPr>
      <w:r>
        <w:t xml:space="preserve">Intervenants directs sur le cas : syndic de l'immeuble, architecte, artisans, assureur, banquier. Ces acteurs bénéficient d'un </w:t>
      </w:r>
      <w:r>
        <w:rPr>
          <w:b/>
          <w:bCs/>
        </w:rPr>
        <w:t>anonymat strict</w:t>
      </w:r>
      <w:r>
        <w:t>.</w:t>
      </w:r>
    </w:p>
    <w:p w14:paraId="0C931B12" w14:textId="77777777" w:rsidR="001355DA" w:rsidRDefault="00000000">
      <w:pPr>
        <w:pStyle w:val="Titre2"/>
      </w:pPr>
      <w:r>
        <w:t>Le Cercle Institutionnel</w:t>
      </w:r>
    </w:p>
    <w:p w14:paraId="02824C06" w14:textId="77777777" w:rsidR="001355DA" w:rsidRDefault="00000000">
      <w:pPr>
        <w:spacing w:after="150"/>
      </w:pPr>
      <w:r>
        <w:t>Experts de référence apportant un éclairage réglementaire sur les blocages rencontrés. Ces contributeurs peuvent être cités nommément s'ils y consentent.</w:t>
      </w:r>
    </w:p>
    <w:p w14:paraId="5BAB246C" w14:textId="19D1BA6D" w:rsidR="001355DA" w:rsidRDefault="001111C3">
      <w:pPr>
        <w:spacing w:after="150"/>
      </w:pPr>
      <w:r>
        <w:rPr>
          <w:b/>
          <w:bCs/>
        </w:rPr>
        <w:t>Exemple de composition du panel socle :</w:t>
      </w:r>
    </w:p>
    <w:p w14:paraId="4FA11D73" w14:textId="77777777" w:rsidR="001355DA" w:rsidRDefault="00000000">
      <w:pPr>
        <w:pStyle w:val="Paragraphedeliste"/>
        <w:numPr>
          <w:ilvl w:val="0"/>
          <w:numId w:val="2"/>
        </w:numPr>
      </w:pPr>
      <w:r>
        <w:t xml:space="preserve">Conseiller France </w:t>
      </w:r>
      <w:proofErr w:type="spellStart"/>
      <w:r>
        <w:t>Rénov</w:t>
      </w:r>
      <w:proofErr w:type="spellEnd"/>
      <w:r>
        <w:t>' (parcours et aides)</w:t>
      </w:r>
    </w:p>
    <w:p w14:paraId="72F3A9EE" w14:textId="77777777" w:rsidR="001355DA" w:rsidRDefault="00000000">
      <w:pPr>
        <w:pStyle w:val="Paragraphedeliste"/>
        <w:numPr>
          <w:ilvl w:val="0"/>
          <w:numId w:val="2"/>
        </w:numPr>
      </w:pPr>
      <w:r>
        <w:t>Référent ANAH (financement et éligibilité)</w:t>
      </w:r>
    </w:p>
    <w:p w14:paraId="08CAF18C" w14:textId="77777777" w:rsidR="001355DA" w:rsidRDefault="00000000">
      <w:pPr>
        <w:pStyle w:val="Paragraphedeliste"/>
        <w:numPr>
          <w:ilvl w:val="0"/>
          <w:numId w:val="2"/>
        </w:numPr>
      </w:pPr>
      <w:r>
        <w:t>Juriste ADIL (droit du logement et copropriété)</w:t>
      </w:r>
    </w:p>
    <w:p w14:paraId="6CA1327E" w14:textId="77777777" w:rsidR="001355DA" w:rsidRDefault="00000000">
      <w:pPr>
        <w:pStyle w:val="Paragraphedeliste"/>
        <w:numPr>
          <w:ilvl w:val="0"/>
          <w:numId w:val="2"/>
        </w:numPr>
      </w:pPr>
      <w:r>
        <w:t>Expert assurantiel, Fédération Française de l'Assurance</w:t>
      </w:r>
    </w:p>
    <w:p w14:paraId="7F1AF32C" w14:textId="77777777" w:rsidR="001355DA" w:rsidRDefault="00000000">
      <w:pPr>
        <w:pStyle w:val="Paragraphedeliste"/>
        <w:numPr>
          <w:ilvl w:val="0"/>
          <w:numId w:val="2"/>
        </w:numPr>
      </w:pPr>
      <w:r>
        <w:t>Représentant de l'Ordre des Architectes</w:t>
      </w:r>
    </w:p>
    <w:p w14:paraId="47EFD24D" w14:textId="77777777" w:rsidR="001355DA" w:rsidRDefault="00000000">
      <w:pPr>
        <w:pStyle w:val="Paragraphedeliste"/>
        <w:numPr>
          <w:ilvl w:val="0"/>
          <w:numId w:val="2"/>
        </w:numPr>
      </w:pPr>
      <w:r>
        <w:t>Représentant FFB ou CAPEB (regard technique artisan)</w:t>
      </w:r>
    </w:p>
    <w:p w14:paraId="11B3C78C" w14:textId="4CBAEA5C" w:rsidR="00605D73" w:rsidRDefault="00000000" w:rsidP="00605D73">
      <w:pPr>
        <w:pStyle w:val="Paragraphedeliste"/>
        <w:numPr>
          <w:ilvl w:val="0"/>
          <w:numId w:val="2"/>
        </w:numPr>
        <w:spacing w:after="200"/>
      </w:pPr>
      <w:r>
        <w:t>Représentant UNIS ou FNAIM (gestion de copropriété</w:t>
      </w:r>
      <w:r w:rsidR="00605D73">
        <w:t>)</w:t>
      </w:r>
    </w:p>
    <w:p w14:paraId="740DAF2D" w14:textId="416A7E5C" w:rsidR="00605D73" w:rsidRDefault="00605D73" w:rsidP="00E01301">
      <w:pPr>
        <w:pStyle w:val="Paragraphedeliste"/>
        <w:numPr>
          <w:ilvl w:val="0"/>
          <w:numId w:val="2"/>
        </w:numPr>
        <w:spacing w:after="200"/>
      </w:pPr>
      <w:r>
        <w:t xml:space="preserve">Représentant </w:t>
      </w:r>
      <w:proofErr w:type="spellStart"/>
      <w:r w:rsidRPr="00605D73">
        <w:t>Ekopolis</w:t>
      </w:r>
      <w:proofErr w:type="spellEnd"/>
    </w:p>
    <w:p w14:paraId="4674F43D" w14:textId="77777777" w:rsidR="001355DA" w:rsidRDefault="00000000">
      <w:pPr>
        <w:pStyle w:val="Titre2"/>
      </w:pPr>
      <w:r>
        <w:t>Fonctionnement du Delphi</w:t>
      </w:r>
    </w:p>
    <w:p w14:paraId="0FCA9E8E" w14:textId="77777777" w:rsidR="001355DA" w:rsidRDefault="00000000">
      <w:pPr>
        <w:spacing w:after="400"/>
      </w:pPr>
      <w:r>
        <w:t>Chaque expert répond individuellement à la question posée. Les réponses sont compilées sans attribution. Si un consensus se dégage, il est validé. Sinon, une synthèse anonyme des positions est renvoyée aux experts pour un second tour, jusqu'à convergence ou identification claire du désaccord. En cas de divergence persistante entre les deux cercles, une note de synthèse formalise le conflit entre la norme et la pratique.</w:t>
      </w:r>
    </w:p>
    <w:p w14:paraId="6B31719E" w14:textId="77777777" w:rsidR="001355DA" w:rsidRDefault="00000000">
      <w:pPr>
        <w:pStyle w:val="Titre1"/>
      </w:pPr>
      <w:r>
        <w:t>5. Documentation</w:t>
      </w:r>
    </w:p>
    <w:p w14:paraId="62E0B7E7" w14:textId="77777777" w:rsidR="001355DA" w:rsidRDefault="00000000">
      <w:pPr>
        <w:spacing w:after="200"/>
      </w:pPr>
      <w:r>
        <w:t>L'archivage systématique garantit la rigueur de l'étude.</w:t>
      </w:r>
    </w:p>
    <w:p w14:paraId="61FBFC59" w14:textId="77777777" w:rsidR="001355DA" w:rsidRDefault="00000000">
      <w:pPr>
        <w:spacing w:after="150"/>
      </w:pPr>
      <w:r>
        <w:rPr>
          <w:b/>
          <w:bCs/>
        </w:rPr>
        <w:t xml:space="preserve">Le journal de bord : </w:t>
      </w:r>
      <w:r>
        <w:t>chronologie factuelle des événements et verbatim des échanges significatifs.</w:t>
      </w:r>
    </w:p>
    <w:p w14:paraId="1B0CBD99" w14:textId="77777777" w:rsidR="001355DA" w:rsidRDefault="00000000">
      <w:pPr>
        <w:spacing w:after="150"/>
      </w:pPr>
      <w:r>
        <w:rPr>
          <w:b/>
          <w:bCs/>
        </w:rPr>
        <w:t xml:space="preserve">La matériauthèque numérique : </w:t>
      </w:r>
      <w:r>
        <w:t>photographies datées, scans des documents officiels (procès-verbaux d'assemblée générale, factures, formulaires CERFA, attestations).</w:t>
      </w:r>
    </w:p>
    <w:p w14:paraId="53FDF43B" w14:textId="77777777" w:rsidR="00E01301" w:rsidRDefault="00000000">
      <w:pPr>
        <w:spacing w:after="400"/>
      </w:pPr>
      <w:r>
        <w:rPr>
          <w:b/>
          <w:bCs/>
        </w:rPr>
        <w:t xml:space="preserve">Le tableau de bord : </w:t>
      </w:r>
      <w:r>
        <w:t>suivi comparé des délais (théoriques et réels) et des coûts (prévus et constatés).</w:t>
      </w:r>
      <w:r w:rsidR="00E01301">
        <w:t xml:space="preserve"> </w:t>
      </w:r>
    </w:p>
    <w:p w14:paraId="52D25333" w14:textId="068FC179" w:rsidR="001355DA" w:rsidRDefault="00E01301">
      <w:pPr>
        <w:spacing w:after="400"/>
      </w:pPr>
      <w:r w:rsidRPr="00E01301">
        <w:rPr>
          <w:b/>
          <w:bCs/>
        </w:rPr>
        <w:lastRenderedPageBreak/>
        <w:t>Chronogramme des ruptures :</w:t>
      </w:r>
      <w:r w:rsidRPr="00E01301">
        <w:t xml:space="preserve"> cartographie et qualifie la nature exacte de chaque temps de latence ou blocage (administratif, technique, financier) qui paralyse le système.</w:t>
      </w:r>
    </w:p>
    <w:p w14:paraId="69CEA357" w14:textId="77777777" w:rsidR="001355DA" w:rsidRDefault="00000000">
      <w:pPr>
        <w:pStyle w:val="Titre1"/>
      </w:pPr>
      <w:r>
        <w:t>6. Pilotage</w:t>
      </w:r>
    </w:p>
    <w:p w14:paraId="375D3C50" w14:textId="77777777" w:rsidR="001355DA" w:rsidRDefault="00000000">
      <w:pPr>
        <w:spacing w:after="400"/>
      </w:pPr>
      <w:r>
        <w:t>L'étude est conduite par un coordinateur unique qui assure la continuité de l'observation, sollicite les experts selon les besoins et valide les livrables.</w:t>
      </w:r>
    </w:p>
    <w:p w14:paraId="0EDF9EA2" w14:textId="77777777" w:rsidR="001355DA" w:rsidRDefault="00000000">
      <w:pPr>
        <w:pStyle w:val="Titre1"/>
      </w:pPr>
      <w:r>
        <w:t>7. Finalités et livrables</w:t>
      </w:r>
    </w:p>
    <w:p w14:paraId="69FC898D" w14:textId="46AA189F" w:rsidR="001111C3" w:rsidRDefault="00000000" w:rsidP="00E01301">
      <w:pPr>
        <w:pStyle w:val="Titre2"/>
      </w:pPr>
      <w:r>
        <w:t>Le</w:t>
      </w:r>
      <w:r w:rsidR="001111C3">
        <w:t>s outils de terrain (pour les propriétaires engagés dans des travaux de rénovation)</w:t>
      </w:r>
    </w:p>
    <w:p w14:paraId="5F62D0EC" w14:textId="01851829" w:rsidR="001111C3" w:rsidRDefault="001111C3" w:rsidP="001111C3">
      <w:pPr>
        <w:spacing w:after="300"/>
      </w:pPr>
      <w:r>
        <w:t>Fiches pratiques et recommandations à destination des propriétaires, syndics et copropriétaires. Objectif : donner des repères fiables, éviter les arnaques et sécuriser le parcours.</w:t>
      </w:r>
    </w:p>
    <w:p w14:paraId="1E5B6B7B" w14:textId="77777777" w:rsidR="001355DA" w:rsidRDefault="00000000">
      <w:pPr>
        <w:spacing w:after="300"/>
      </w:pPr>
      <w:r>
        <w:t>Mise en lumière des dysfonctionnements structurels pour nourrir la réflexion des décideurs publics.</w:t>
      </w:r>
    </w:p>
    <w:p w14:paraId="1F448332" w14:textId="77777777" w:rsidR="001355DA" w:rsidRDefault="00000000">
      <w:pPr>
        <w:pStyle w:val="Titre2"/>
      </w:pPr>
      <w:r>
        <w:t>Les Retours d'Expérience (RETEX)</w:t>
      </w:r>
    </w:p>
    <w:p w14:paraId="2269D801" w14:textId="77777777" w:rsidR="001355DA" w:rsidRDefault="00000000">
      <w:pPr>
        <w:spacing w:after="200"/>
      </w:pPr>
      <w:r>
        <w:t>Analyse documentée des réussites et des échecs du projet, transformée en supports d'apprentissage pour la formation initiale et la montée en compétence des professionnels en activité.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11"/>
        <w:gridCol w:w="5013"/>
      </w:tblGrid>
      <w:tr w:rsidR="001355DA" w14:paraId="5A46805E" w14:textId="77777777">
        <w:tc>
          <w:tcPr>
            <w:tcW w:w="4000" w:type="dxa"/>
            <w:tcBorders>
              <w:top w:val="single" w:sz="1" w:space="0" w:color="2E5090"/>
              <w:left w:val="single" w:sz="1" w:space="0" w:color="2E5090"/>
              <w:bottom w:val="single" w:sz="1" w:space="0" w:color="2E5090"/>
              <w:right w:val="single" w:sz="1" w:space="0" w:color="2E5090"/>
            </w:tcBorders>
            <w:shd w:val="clear" w:color="auto" w:fill="2E5090"/>
            <w:tcMar>
              <w:top w:w="100" w:type="dxa"/>
              <w:left w:w="120" w:type="dxa"/>
              <w:bottom w:w="100" w:type="dxa"/>
              <w:right w:w="120" w:type="dxa"/>
            </w:tcMar>
          </w:tcPr>
          <w:p w14:paraId="519052BD" w14:textId="77777777" w:rsidR="001355DA" w:rsidRDefault="00000000">
            <w:r>
              <w:rPr>
                <w:b/>
                <w:bCs/>
                <w:color w:val="FFFFFF"/>
              </w:rPr>
              <w:t>FILIÈRE</w:t>
            </w:r>
          </w:p>
        </w:tc>
        <w:tc>
          <w:tcPr>
            <w:tcW w:w="5000" w:type="dxa"/>
            <w:tcBorders>
              <w:top w:val="single" w:sz="1" w:space="0" w:color="2E5090"/>
              <w:left w:val="single" w:sz="1" w:space="0" w:color="2E5090"/>
              <w:bottom w:val="single" w:sz="1" w:space="0" w:color="2E5090"/>
              <w:right w:val="single" w:sz="1" w:space="0" w:color="2E5090"/>
            </w:tcBorders>
            <w:shd w:val="clear" w:color="auto" w:fill="2E5090"/>
            <w:tcMar>
              <w:top w:w="100" w:type="dxa"/>
              <w:left w:w="120" w:type="dxa"/>
              <w:bottom w:w="100" w:type="dxa"/>
              <w:right w:w="120" w:type="dxa"/>
            </w:tcMar>
          </w:tcPr>
          <w:p w14:paraId="28C2F53A" w14:textId="77777777" w:rsidR="001355DA" w:rsidRDefault="00000000">
            <w:r>
              <w:rPr>
                <w:b/>
                <w:bCs/>
                <w:color w:val="FFFFFF"/>
              </w:rPr>
              <w:t>EXEMPLES D'APPLICATION</w:t>
            </w:r>
          </w:p>
        </w:tc>
      </w:tr>
      <w:tr w:rsidR="001355DA" w14:paraId="77FEBFEC" w14:textId="77777777">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B78F3B" w14:textId="77777777" w:rsidR="001355DA" w:rsidRDefault="00000000">
            <w:r>
              <w:rPr>
                <w:b/>
                <w:bCs/>
                <w:sz w:val="20"/>
                <w:szCs w:val="20"/>
              </w:rPr>
              <w:t>Masters Urbanisme &amp; Écoles d'Ingénieurs</w:t>
            </w:r>
            <w:r>
              <w:rPr>
                <w:sz w:val="20"/>
                <w:szCs w:val="20"/>
              </w:rPr>
              <w:t xml:space="preserve"> (ESTP, Sciences Po)</w:t>
            </w:r>
          </w:p>
        </w:tc>
        <w:tc>
          <w:tcPr>
            <w:tcW w:w="5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FEB8A7" w14:textId="77777777" w:rsidR="001355DA" w:rsidRDefault="00000000">
            <w:r>
              <w:rPr>
                <w:sz w:val="20"/>
                <w:szCs w:val="20"/>
              </w:rPr>
              <w:t>Étude systémique des délais et coûts cachés de la transition énergétique résidentielle</w:t>
            </w:r>
          </w:p>
        </w:tc>
      </w:tr>
      <w:tr w:rsidR="001355DA" w14:paraId="745005B8" w14:textId="77777777">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15B819" w14:textId="77777777" w:rsidR="001355DA" w:rsidRDefault="00000000">
            <w:r>
              <w:rPr>
                <w:b/>
                <w:bCs/>
                <w:sz w:val="20"/>
                <w:szCs w:val="20"/>
              </w:rPr>
              <w:t>Filières Immobilières &amp; Juridiques</w:t>
            </w:r>
            <w:r>
              <w:rPr>
                <w:sz w:val="20"/>
                <w:szCs w:val="20"/>
              </w:rPr>
              <w:t xml:space="preserve"> (BTS PI, ESPI, ICH, UNIS)</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45831" w14:textId="77777777" w:rsidR="001355DA" w:rsidRDefault="00000000">
            <w:pPr>
              <w:spacing w:after="60"/>
            </w:pPr>
            <w:r>
              <w:rPr>
                <w:sz w:val="20"/>
                <w:szCs w:val="20"/>
              </w:rPr>
              <w:t>Vade-mecum du Maître d'Ouvrage Particulier</w:t>
            </w:r>
          </w:p>
          <w:p w14:paraId="1FF84A17" w14:textId="77777777" w:rsidR="001355DA" w:rsidRDefault="00000000">
            <w:pPr>
              <w:spacing w:after="60"/>
            </w:pPr>
            <w:r>
              <w:rPr>
                <w:sz w:val="20"/>
                <w:szCs w:val="20"/>
              </w:rPr>
              <w:t>Travaux privatifs et Copropriété : le guide des interfaces</w:t>
            </w:r>
          </w:p>
          <w:p w14:paraId="133F092F" w14:textId="77777777" w:rsidR="001355DA" w:rsidRDefault="00000000">
            <w:r>
              <w:rPr>
                <w:sz w:val="20"/>
                <w:szCs w:val="20"/>
              </w:rPr>
              <w:t>TD Gestion de Copropriété : analyse d'un sinistre dégât des eaux</w:t>
            </w:r>
          </w:p>
        </w:tc>
      </w:tr>
      <w:tr w:rsidR="001355DA" w14:paraId="07626B1C" w14:textId="77777777">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F86625" w14:textId="77777777" w:rsidR="001355DA" w:rsidRDefault="00000000">
            <w:r>
              <w:rPr>
                <w:b/>
                <w:bCs/>
                <w:sz w:val="20"/>
                <w:szCs w:val="20"/>
              </w:rPr>
              <w:t>Écoles d'Architecture &amp; Design</w:t>
            </w:r>
            <w:r>
              <w:rPr>
                <w:sz w:val="20"/>
                <w:szCs w:val="20"/>
              </w:rPr>
              <w:t xml:space="preserve"> (ENSA, </w:t>
            </w:r>
            <w:proofErr w:type="spellStart"/>
            <w:r>
              <w:rPr>
                <w:sz w:val="20"/>
                <w:szCs w:val="20"/>
              </w:rPr>
              <w:t>Camondo</w:t>
            </w:r>
            <w:proofErr w:type="spellEnd"/>
            <w:r>
              <w:rPr>
                <w:sz w:val="20"/>
                <w:szCs w:val="20"/>
              </w:rPr>
              <w:t>, Boulle)</w:t>
            </w:r>
          </w:p>
        </w:tc>
        <w:tc>
          <w:tcPr>
            <w:tcW w:w="5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736E7D" w14:textId="77777777" w:rsidR="001355DA" w:rsidRDefault="00000000">
            <w:r>
              <w:rPr>
                <w:sz w:val="20"/>
                <w:szCs w:val="20"/>
              </w:rPr>
              <w:t>Séminaire de projet : réhabilitation du bâti ancien et contraintes normatives</w:t>
            </w:r>
          </w:p>
        </w:tc>
      </w:tr>
      <w:tr w:rsidR="001355DA" w14:paraId="23FBC065" w14:textId="77777777">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B3BF67" w14:textId="77777777" w:rsidR="001355DA" w:rsidRDefault="00000000">
            <w:r>
              <w:rPr>
                <w:b/>
                <w:bCs/>
                <w:sz w:val="20"/>
                <w:szCs w:val="20"/>
              </w:rPr>
              <w:t>Filières Techniques &amp; Bâtiment</w:t>
            </w:r>
            <w:r>
              <w:rPr>
                <w:sz w:val="20"/>
                <w:szCs w:val="20"/>
              </w:rPr>
              <w:t xml:space="preserve"> (CFA, BTS Bâtiment, Diagnostiqueurs)</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C2AF08" w14:textId="77777777" w:rsidR="001355DA" w:rsidRDefault="00000000">
            <w:pPr>
              <w:spacing w:after="60"/>
            </w:pPr>
            <w:r>
              <w:rPr>
                <w:sz w:val="20"/>
                <w:szCs w:val="20"/>
              </w:rPr>
              <w:t>Module Éco-rénovation : traitement des ponts thermiques</w:t>
            </w:r>
          </w:p>
          <w:p w14:paraId="36C18CDD" w14:textId="77777777" w:rsidR="001355DA" w:rsidRDefault="00000000">
            <w:pPr>
              <w:spacing w:after="60"/>
            </w:pPr>
            <w:r>
              <w:rPr>
                <w:sz w:val="20"/>
                <w:szCs w:val="20"/>
              </w:rPr>
              <w:t>Étude de prix : chiffrage réel vs estimations théoriques</w:t>
            </w:r>
          </w:p>
          <w:p w14:paraId="3A45D4A6" w14:textId="77777777" w:rsidR="001355DA" w:rsidRDefault="00000000">
            <w:r>
              <w:rPr>
                <w:sz w:val="20"/>
                <w:szCs w:val="20"/>
              </w:rPr>
              <w:t>Étude de cas : pathologies et incohérences DPE vs réalité</w:t>
            </w:r>
          </w:p>
        </w:tc>
      </w:tr>
    </w:tbl>
    <w:p w14:paraId="74B991A4" w14:textId="77777777" w:rsidR="001355DA" w:rsidRDefault="001355DA" w:rsidP="005466D8">
      <w:pPr>
        <w:pBdr>
          <w:top w:val="single" w:sz="6" w:space="0" w:color="CCCCCC"/>
        </w:pBdr>
        <w:spacing w:before="400"/>
      </w:pPr>
    </w:p>
    <w:p w14:paraId="0E154069" w14:textId="7E448B2A" w:rsidR="001355DA" w:rsidRDefault="00000000">
      <w:pPr>
        <w:spacing w:before="200"/>
        <w:jc w:val="center"/>
      </w:pPr>
      <w:r>
        <w:rPr>
          <w:i/>
          <w:iCs/>
          <w:color w:val="666666"/>
          <w:sz w:val="20"/>
          <w:szCs w:val="20"/>
        </w:rPr>
        <w:t>Ce document décrit la méthode</w:t>
      </w:r>
      <w:r w:rsidR="005466D8">
        <w:rPr>
          <w:i/>
          <w:iCs/>
          <w:color w:val="666666"/>
          <w:sz w:val="20"/>
          <w:szCs w:val="20"/>
        </w:rPr>
        <w:t xml:space="preserve"> envisagée.</w:t>
      </w:r>
      <w:r>
        <w:rPr>
          <w:i/>
          <w:iCs/>
          <w:color w:val="666666"/>
          <w:sz w:val="20"/>
          <w:szCs w:val="20"/>
        </w:rPr>
        <w:t xml:space="preserve"> Les résultats, les acteurs impliqués et les enseignements tirés feront l'objet de publications distincte</w:t>
      </w:r>
      <w:r w:rsidR="008563AA">
        <w:rPr>
          <w:i/>
          <w:iCs/>
          <w:color w:val="666666"/>
          <w:sz w:val="20"/>
          <w:szCs w:val="20"/>
        </w:rPr>
        <w:t>s. Pour toute question sur la méthodologie ou recevoir nos publications : formation@eval.fr</w:t>
      </w:r>
    </w:p>
    <w:sectPr w:rsidR="001355D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DEEF" w14:textId="77777777" w:rsidR="008F0199" w:rsidRDefault="008F0199">
      <w:r>
        <w:separator/>
      </w:r>
    </w:p>
  </w:endnote>
  <w:endnote w:type="continuationSeparator" w:id="0">
    <w:p w14:paraId="1E7E47BA" w14:textId="77777777" w:rsidR="008F0199" w:rsidRDefault="008F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B807" w14:textId="0330AFD9" w:rsidR="001355DA" w:rsidRDefault="00000000">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1111C3">
      <w:rPr>
        <w:noProof/>
        <w:color w:val="808080"/>
        <w:sz w:val="18"/>
        <w:szCs w:val="18"/>
      </w:rPr>
      <w:t>1</w:t>
    </w:r>
    <w:r>
      <w:rPr>
        <w:color w:val="808080"/>
        <w:sz w:val="18"/>
        <w:szCs w:val="18"/>
      </w:rPr>
      <w:fldChar w:fldCharType="end"/>
    </w:r>
    <w:r>
      <w:rPr>
        <w:color w:val="808080"/>
        <w:sz w:val="18"/>
        <w:szCs w:val="18"/>
      </w:rPr>
      <w:t xml:space="preserve"> / </w:t>
    </w:r>
    <w:r>
      <w:rPr>
        <w:color w:val="808080"/>
        <w:sz w:val="18"/>
        <w:szCs w:val="18"/>
      </w:rPr>
      <w:fldChar w:fldCharType="begin"/>
    </w:r>
    <w:r>
      <w:rPr>
        <w:color w:val="808080"/>
        <w:sz w:val="18"/>
        <w:szCs w:val="18"/>
      </w:rPr>
      <w:instrText>NUMPAGES</w:instrText>
    </w:r>
    <w:r>
      <w:rPr>
        <w:color w:val="808080"/>
        <w:sz w:val="18"/>
        <w:szCs w:val="18"/>
      </w:rPr>
      <w:fldChar w:fldCharType="separate"/>
    </w:r>
    <w:r w:rsidR="001111C3">
      <w:rPr>
        <w:noProof/>
        <w:color w:val="808080"/>
        <w:sz w:val="18"/>
        <w:szCs w:val="18"/>
      </w:rPr>
      <w:t>2</w:t>
    </w:r>
    <w:r>
      <w:rPr>
        <w:color w:val="808080"/>
        <w:sz w:val="18"/>
        <w:szCs w:val="18"/>
      </w:rPr>
      <w:fldChar w:fldCharType="end"/>
    </w:r>
    <w:r w:rsidR="00605D73">
      <w:rPr>
        <w:color w:val="808080"/>
        <w:sz w:val="18"/>
        <w:szCs w:val="18"/>
      </w:rPr>
      <w:br/>
      <w:t>www.eval.fr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9B9C" w14:textId="77777777" w:rsidR="008F0199" w:rsidRDefault="008F0199">
      <w:r>
        <w:separator/>
      </w:r>
    </w:p>
  </w:footnote>
  <w:footnote w:type="continuationSeparator" w:id="0">
    <w:p w14:paraId="2BEB6B49" w14:textId="77777777" w:rsidR="008F0199" w:rsidRDefault="008F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61BA" w14:textId="437D715F" w:rsidR="001355DA" w:rsidRDefault="00B25671">
    <w:pPr>
      <w:jc w:val="right"/>
    </w:pPr>
    <w:r>
      <w:rPr>
        <w:i/>
        <w:iCs/>
        <w:noProof/>
        <w:color w:val="808080"/>
        <w:sz w:val="18"/>
        <w:szCs w:val="18"/>
      </w:rPr>
      <w:drawing>
        <wp:anchor distT="0" distB="0" distL="114300" distR="114300" simplePos="0" relativeHeight="251658240" behindDoc="0" locked="0" layoutInCell="1" allowOverlap="1" wp14:anchorId="3E731929" wp14:editId="51814EA5">
          <wp:simplePos x="0" y="0"/>
          <wp:positionH relativeFrom="column">
            <wp:posOffset>-664143</wp:posOffset>
          </wp:positionH>
          <wp:positionV relativeFrom="paragraph">
            <wp:posOffset>-190024</wp:posOffset>
          </wp:positionV>
          <wp:extent cx="577215" cy="401646"/>
          <wp:effectExtent l="0" t="0" r="0" b="5080"/>
          <wp:wrapNone/>
          <wp:docPr id="11562963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96343" name="Image 1156296343"/>
                  <pic:cNvPicPr/>
                </pic:nvPicPr>
                <pic:blipFill>
                  <a:blip r:embed="rId1">
                    <a:extLst>
                      <a:ext uri="{28A0092B-C50C-407E-A947-70E740481C1C}">
                        <a14:useLocalDpi xmlns:a14="http://schemas.microsoft.com/office/drawing/2010/main" val="0"/>
                      </a:ext>
                    </a:extLst>
                  </a:blip>
                  <a:stretch>
                    <a:fillRect/>
                  </a:stretch>
                </pic:blipFill>
                <pic:spPr>
                  <a:xfrm>
                    <a:off x="0" y="0"/>
                    <a:ext cx="579864" cy="403489"/>
                  </a:xfrm>
                  <a:prstGeom prst="rect">
                    <a:avLst/>
                  </a:prstGeom>
                </pic:spPr>
              </pic:pic>
            </a:graphicData>
          </a:graphic>
          <wp14:sizeRelH relativeFrom="page">
            <wp14:pctWidth>0</wp14:pctWidth>
          </wp14:sizeRelH>
          <wp14:sizeRelV relativeFrom="page">
            <wp14:pctHeight>0</wp14:pctHeight>
          </wp14:sizeRelV>
        </wp:anchor>
      </w:drawing>
    </w:r>
    <w:r w:rsidR="00000000">
      <w:rPr>
        <w:i/>
        <w:iCs/>
        <w:color w:val="808080"/>
        <w:sz w:val="18"/>
        <w:szCs w:val="18"/>
      </w:rPr>
      <w:t>Protocole Expérimental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F99"/>
    <w:multiLevelType w:val="hybridMultilevel"/>
    <w:tmpl w:val="010ED19A"/>
    <w:lvl w:ilvl="0" w:tplc="87622B52">
      <w:start w:val="1"/>
      <w:numFmt w:val="bullet"/>
      <w:lvlText w:val="•"/>
      <w:lvlJc w:val="left"/>
      <w:pPr>
        <w:ind w:left="720" w:hanging="360"/>
      </w:pPr>
    </w:lvl>
    <w:lvl w:ilvl="1" w:tplc="363A9DB8">
      <w:numFmt w:val="decimal"/>
      <w:lvlText w:val=""/>
      <w:lvlJc w:val="left"/>
    </w:lvl>
    <w:lvl w:ilvl="2" w:tplc="1FA0B944">
      <w:numFmt w:val="decimal"/>
      <w:lvlText w:val=""/>
      <w:lvlJc w:val="left"/>
    </w:lvl>
    <w:lvl w:ilvl="3" w:tplc="1F6E4028">
      <w:numFmt w:val="decimal"/>
      <w:lvlText w:val=""/>
      <w:lvlJc w:val="left"/>
    </w:lvl>
    <w:lvl w:ilvl="4" w:tplc="8FD209AA">
      <w:numFmt w:val="decimal"/>
      <w:lvlText w:val=""/>
      <w:lvlJc w:val="left"/>
    </w:lvl>
    <w:lvl w:ilvl="5" w:tplc="1F52D02C">
      <w:numFmt w:val="decimal"/>
      <w:lvlText w:val=""/>
      <w:lvlJc w:val="left"/>
    </w:lvl>
    <w:lvl w:ilvl="6" w:tplc="AD10AFEA">
      <w:numFmt w:val="decimal"/>
      <w:lvlText w:val=""/>
      <w:lvlJc w:val="left"/>
    </w:lvl>
    <w:lvl w:ilvl="7" w:tplc="49420092">
      <w:numFmt w:val="decimal"/>
      <w:lvlText w:val=""/>
      <w:lvlJc w:val="left"/>
    </w:lvl>
    <w:lvl w:ilvl="8" w:tplc="4BA42464">
      <w:numFmt w:val="decimal"/>
      <w:lvlText w:val=""/>
      <w:lvlJc w:val="left"/>
    </w:lvl>
  </w:abstractNum>
  <w:abstractNum w:abstractNumId="1" w15:restartNumberingAfterBreak="0">
    <w:nsid w:val="7DF27D35"/>
    <w:multiLevelType w:val="hybridMultilevel"/>
    <w:tmpl w:val="3BF6D2BC"/>
    <w:lvl w:ilvl="0" w:tplc="F5D6C26C">
      <w:start w:val="1"/>
      <w:numFmt w:val="bullet"/>
      <w:lvlText w:val="●"/>
      <w:lvlJc w:val="left"/>
      <w:pPr>
        <w:ind w:left="720" w:hanging="360"/>
      </w:pPr>
    </w:lvl>
    <w:lvl w:ilvl="1" w:tplc="5DAC1898">
      <w:start w:val="1"/>
      <w:numFmt w:val="bullet"/>
      <w:lvlText w:val="○"/>
      <w:lvlJc w:val="left"/>
      <w:pPr>
        <w:ind w:left="1440" w:hanging="360"/>
      </w:pPr>
    </w:lvl>
    <w:lvl w:ilvl="2" w:tplc="D5F0057E">
      <w:start w:val="1"/>
      <w:numFmt w:val="bullet"/>
      <w:lvlText w:val="■"/>
      <w:lvlJc w:val="left"/>
      <w:pPr>
        <w:ind w:left="2160" w:hanging="360"/>
      </w:pPr>
    </w:lvl>
    <w:lvl w:ilvl="3" w:tplc="07A0F952">
      <w:start w:val="1"/>
      <w:numFmt w:val="bullet"/>
      <w:lvlText w:val="●"/>
      <w:lvlJc w:val="left"/>
      <w:pPr>
        <w:ind w:left="2880" w:hanging="360"/>
      </w:pPr>
    </w:lvl>
    <w:lvl w:ilvl="4" w:tplc="8A5C6E96">
      <w:start w:val="1"/>
      <w:numFmt w:val="bullet"/>
      <w:lvlText w:val="○"/>
      <w:lvlJc w:val="left"/>
      <w:pPr>
        <w:ind w:left="3600" w:hanging="360"/>
      </w:pPr>
    </w:lvl>
    <w:lvl w:ilvl="5" w:tplc="D340B8A8">
      <w:start w:val="1"/>
      <w:numFmt w:val="bullet"/>
      <w:lvlText w:val="■"/>
      <w:lvlJc w:val="left"/>
      <w:pPr>
        <w:ind w:left="4320" w:hanging="360"/>
      </w:pPr>
    </w:lvl>
    <w:lvl w:ilvl="6" w:tplc="A77493B8">
      <w:start w:val="1"/>
      <w:numFmt w:val="bullet"/>
      <w:lvlText w:val="●"/>
      <w:lvlJc w:val="left"/>
      <w:pPr>
        <w:ind w:left="5040" w:hanging="360"/>
      </w:pPr>
    </w:lvl>
    <w:lvl w:ilvl="7" w:tplc="69AA150C">
      <w:start w:val="1"/>
      <w:numFmt w:val="bullet"/>
      <w:lvlText w:val="●"/>
      <w:lvlJc w:val="left"/>
      <w:pPr>
        <w:ind w:left="5760" w:hanging="360"/>
      </w:pPr>
    </w:lvl>
    <w:lvl w:ilvl="8" w:tplc="AE3CD0EA">
      <w:start w:val="1"/>
      <w:numFmt w:val="bullet"/>
      <w:lvlText w:val="●"/>
      <w:lvlJc w:val="left"/>
      <w:pPr>
        <w:ind w:left="6480" w:hanging="360"/>
      </w:pPr>
    </w:lvl>
  </w:abstractNum>
  <w:num w:numId="1" w16cid:durableId="1283609432">
    <w:abstractNumId w:val="1"/>
    <w:lvlOverride w:ilvl="0">
      <w:startOverride w:val="1"/>
    </w:lvlOverride>
  </w:num>
  <w:num w:numId="2" w16cid:durableId="1303270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DA"/>
    <w:rsid w:val="001111C3"/>
    <w:rsid w:val="001355DA"/>
    <w:rsid w:val="00152DE7"/>
    <w:rsid w:val="002A5908"/>
    <w:rsid w:val="00486257"/>
    <w:rsid w:val="005466D8"/>
    <w:rsid w:val="00605D73"/>
    <w:rsid w:val="00725407"/>
    <w:rsid w:val="008563AA"/>
    <w:rsid w:val="008F0199"/>
    <w:rsid w:val="00B25671"/>
    <w:rsid w:val="00BC6339"/>
    <w:rsid w:val="00DD6FDA"/>
    <w:rsid w:val="00E01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C2CE6"/>
  <w15:docId w15:val="{A854B946-9931-E041-877A-62A41B12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200"/>
      <w:outlineLvl w:val="0"/>
    </w:pPr>
    <w:rPr>
      <w:b/>
      <w:bCs/>
      <w:color w:val="1F3864"/>
      <w:sz w:val="36"/>
      <w:szCs w:val="36"/>
    </w:rPr>
  </w:style>
  <w:style w:type="paragraph" w:styleId="Titre2">
    <w:name w:val="heading 2"/>
    <w:uiPriority w:val="9"/>
    <w:unhideWhenUsed/>
    <w:qFormat/>
    <w:pPr>
      <w:spacing w:before="300" w:after="150"/>
      <w:outlineLvl w:val="1"/>
    </w:pPr>
    <w:rPr>
      <w:b/>
      <w:bCs/>
      <w:color w:val="2E5090"/>
      <w:sz w:val="28"/>
      <w:szCs w:val="28"/>
    </w:rPr>
  </w:style>
  <w:style w:type="paragraph" w:styleId="Titre3">
    <w:name w:val="heading 3"/>
    <w:uiPriority w:val="9"/>
    <w:semiHidden/>
    <w:unhideWhenUsed/>
    <w:qFormat/>
    <w:pPr>
      <w:spacing w:before="240" w:after="120"/>
      <w:outlineLvl w:val="2"/>
    </w:pPr>
    <w:rPr>
      <w:b/>
      <w:bCs/>
      <w:color w:val="404040"/>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NormalWeb">
    <w:name w:val="Normal (Web)"/>
    <w:basedOn w:val="Normal"/>
    <w:uiPriority w:val="99"/>
    <w:semiHidden/>
    <w:unhideWhenUsed/>
    <w:rsid w:val="001111C3"/>
    <w:pPr>
      <w:spacing w:before="100" w:beforeAutospacing="1" w:after="100" w:afterAutospacing="1"/>
    </w:pPr>
    <w:rPr>
      <w:rFonts w:ascii="Times New Roman" w:eastAsia="Times New Roman" w:hAnsi="Times New Roman" w:cs="Times New Roman"/>
      <w:sz w:val="24"/>
      <w:szCs w:val="24"/>
    </w:rPr>
  </w:style>
  <w:style w:type="character" w:styleId="Accentuation">
    <w:name w:val="Emphasis"/>
    <w:basedOn w:val="Policepardfaut"/>
    <w:uiPriority w:val="20"/>
    <w:qFormat/>
    <w:rsid w:val="001111C3"/>
    <w:rPr>
      <w:i/>
      <w:iCs/>
    </w:rPr>
  </w:style>
  <w:style w:type="paragraph" w:styleId="En-tte">
    <w:name w:val="header"/>
    <w:basedOn w:val="Normal"/>
    <w:link w:val="En-tteCar"/>
    <w:uiPriority w:val="99"/>
    <w:unhideWhenUsed/>
    <w:rsid w:val="00605D73"/>
    <w:pPr>
      <w:tabs>
        <w:tab w:val="center" w:pos="4536"/>
        <w:tab w:val="right" w:pos="9072"/>
      </w:tabs>
    </w:pPr>
  </w:style>
  <w:style w:type="character" w:customStyle="1" w:styleId="En-tteCar">
    <w:name w:val="En-tête Car"/>
    <w:basedOn w:val="Policepardfaut"/>
    <w:link w:val="En-tte"/>
    <w:uiPriority w:val="99"/>
    <w:rsid w:val="00605D73"/>
  </w:style>
  <w:style w:type="paragraph" w:styleId="Pieddepage">
    <w:name w:val="footer"/>
    <w:basedOn w:val="Normal"/>
    <w:link w:val="PieddepageCar"/>
    <w:uiPriority w:val="99"/>
    <w:unhideWhenUsed/>
    <w:rsid w:val="00605D73"/>
    <w:pPr>
      <w:tabs>
        <w:tab w:val="center" w:pos="4536"/>
        <w:tab w:val="right" w:pos="9072"/>
      </w:tabs>
    </w:pPr>
  </w:style>
  <w:style w:type="character" w:customStyle="1" w:styleId="PieddepageCar">
    <w:name w:val="Pied de page Car"/>
    <w:basedOn w:val="Policepardfaut"/>
    <w:link w:val="Pieddepage"/>
    <w:uiPriority w:val="99"/>
    <w:rsid w:val="0060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5171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SEBASTIEN GALEA</cp:lastModifiedBy>
  <cp:revision>3</cp:revision>
  <dcterms:created xsi:type="dcterms:W3CDTF">2026-03-18T07:35:00Z</dcterms:created>
  <dcterms:modified xsi:type="dcterms:W3CDTF">2026-03-18T07:44:00Z</dcterms:modified>
</cp:coreProperties>
</file>