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BFA" w:rsidRPr="00011BFA" w:rsidRDefault="00011BFA" w:rsidP="00011BFA">
      <w:pPr>
        <w:spacing w:after="60" w:line="240" w:lineRule="auto"/>
        <w:jc w:val="center"/>
        <w:rPr>
          <w:rFonts w:ascii="Times New Roman" w:eastAsia="Times New Roman" w:hAnsi="Times New Roman" w:cs="Times New Roman"/>
          <w:sz w:val="24"/>
          <w:szCs w:val="24"/>
          <w:lang w:eastAsia="fr-FR"/>
        </w:rPr>
      </w:pPr>
      <w:bookmarkStart w:id="0" w:name="_GoBack"/>
      <w:bookmarkEnd w:id="0"/>
      <w:r w:rsidRPr="00011BFA">
        <w:rPr>
          <w:rFonts w:ascii="Oswald" w:eastAsia="Times New Roman" w:hAnsi="Oswald" w:cs="Times New Roman"/>
          <w:b/>
          <w:bCs/>
          <w:color w:val="000000"/>
          <w:sz w:val="52"/>
          <w:szCs w:val="52"/>
          <w:lang w:eastAsia="fr-FR"/>
        </w:rPr>
        <w:t>Conseils de lecture</w:t>
      </w:r>
    </w:p>
    <w:p w:rsidR="00011BFA" w:rsidRPr="00011BFA" w:rsidRDefault="00011BFA" w:rsidP="00011BFA">
      <w:pPr>
        <w:spacing w:after="0" w:line="240" w:lineRule="auto"/>
        <w:rPr>
          <w:rFonts w:ascii="Times New Roman" w:eastAsia="Times New Roman" w:hAnsi="Times New Roman" w:cs="Times New Roman"/>
          <w:sz w:val="24"/>
          <w:szCs w:val="24"/>
          <w:lang w:eastAsia="fr-FR"/>
        </w:rPr>
      </w:pPr>
    </w:p>
    <w:p w:rsidR="00D5675F" w:rsidRDefault="00D5675F" w:rsidP="00D5675F">
      <w:pPr>
        <w:shd w:val="clear" w:color="auto" w:fill="FFFFFF"/>
        <w:spacing w:after="0" w:line="240" w:lineRule="auto"/>
        <w:ind w:left="720"/>
        <w:textAlignment w:val="baseline"/>
        <w:rPr>
          <w:rFonts w:ascii="Oswald" w:eastAsia="Times New Roman" w:hAnsi="Oswald" w:cs="Times New Roman"/>
          <w:b/>
          <w:bCs/>
          <w:color w:val="000000"/>
          <w:u w:val="single"/>
          <w:lang w:eastAsia="fr-FR"/>
        </w:rPr>
      </w:pPr>
    </w:p>
    <w:p w:rsidR="005A2A8C" w:rsidRDefault="00011BFA" w:rsidP="005A2A8C">
      <w:pPr>
        <w:shd w:val="clear" w:color="auto" w:fill="FFFFFF"/>
        <w:spacing w:after="0" w:line="240" w:lineRule="auto"/>
        <w:ind w:left="720"/>
        <w:textAlignment w:val="baseline"/>
        <w:rPr>
          <w:rFonts w:ascii="Oswald" w:eastAsia="Times New Roman" w:hAnsi="Oswald" w:cs="Times New Roman"/>
          <w:color w:val="1155CC"/>
          <w:sz w:val="28"/>
          <w:szCs w:val="28"/>
          <w:u w:val="single"/>
          <w:shd w:val="clear" w:color="auto" w:fill="FFFFFF"/>
          <w:lang w:eastAsia="fr-FR"/>
        </w:rPr>
      </w:pPr>
      <w:r w:rsidRPr="00011BFA">
        <w:rPr>
          <w:rFonts w:ascii="Oswald" w:eastAsia="Times New Roman" w:hAnsi="Oswald" w:cs="Times New Roman"/>
          <w:b/>
          <w:bCs/>
          <w:color w:val="000000"/>
          <w:u w:val="single"/>
          <w:lang w:eastAsia="fr-FR"/>
        </w:rPr>
        <w:t>Intitulé de l’ouvrage choisi :</w:t>
      </w:r>
      <w:r w:rsidR="00D5675F">
        <w:rPr>
          <w:rFonts w:ascii="Oswald" w:eastAsia="Times New Roman" w:hAnsi="Oswald" w:cs="Times New Roman"/>
          <w:b/>
          <w:bCs/>
          <w:color w:val="000000"/>
          <w:u w:val="single"/>
          <w:lang w:eastAsia="fr-FR"/>
        </w:rPr>
        <w:t xml:space="preserve">  </w:t>
      </w:r>
      <w:hyperlink r:id="rId5" w:history="1">
        <w:proofErr w:type="spellStart"/>
        <w:r w:rsidR="00D5675F" w:rsidRPr="00D5675F">
          <w:rPr>
            <w:rFonts w:ascii="Oswald" w:eastAsia="Times New Roman" w:hAnsi="Oswald" w:cs="Times New Roman"/>
            <w:color w:val="1155CC"/>
            <w:sz w:val="28"/>
            <w:szCs w:val="28"/>
            <w:u w:val="single"/>
            <w:shd w:val="clear" w:color="auto" w:fill="FFFFFF"/>
            <w:lang w:eastAsia="fr-FR"/>
          </w:rPr>
          <w:t>Civicus</w:t>
        </w:r>
        <w:proofErr w:type="spellEnd"/>
        <w:r w:rsidR="00D5675F" w:rsidRPr="00D5675F">
          <w:rPr>
            <w:rFonts w:ascii="Oswald" w:eastAsia="Times New Roman" w:hAnsi="Oswald" w:cs="Times New Roman"/>
            <w:color w:val="1155CC"/>
            <w:sz w:val="28"/>
            <w:szCs w:val="28"/>
            <w:u w:val="single"/>
            <w:shd w:val="clear" w:color="auto" w:fill="FFFFFF"/>
            <w:lang w:eastAsia="fr-FR"/>
          </w:rPr>
          <w:t xml:space="preserve"> : le suivi et l’évaluation </w:t>
        </w:r>
      </w:hyperlink>
    </w:p>
    <w:p w:rsidR="005A2A8C" w:rsidRDefault="005A2A8C" w:rsidP="005A2A8C">
      <w:pPr>
        <w:shd w:val="clear" w:color="auto" w:fill="FFFFFF"/>
        <w:spacing w:after="0" w:line="240" w:lineRule="auto"/>
        <w:ind w:left="720"/>
        <w:textAlignment w:val="baseline"/>
        <w:rPr>
          <w:rFonts w:ascii="Oswald" w:eastAsia="Times New Roman" w:hAnsi="Oswald" w:cs="Times New Roman"/>
          <w:color w:val="1155CC"/>
          <w:sz w:val="28"/>
          <w:szCs w:val="28"/>
          <w:u w:val="single"/>
          <w:shd w:val="clear" w:color="auto" w:fill="FFFFFF"/>
          <w:lang w:eastAsia="fr-FR"/>
        </w:rPr>
      </w:pPr>
    </w:p>
    <w:p w:rsidR="005A2A8C" w:rsidRPr="005A2A8C" w:rsidRDefault="005A2A8C" w:rsidP="005A2A8C">
      <w:pPr>
        <w:shd w:val="clear" w:color="auto" w:fill="FFFFFF"/>
        <w:spacing w:after="0" w:line="240" w:lineRule="auto"/>
        <w:ind w:left="720"/>
        <w:textAlignment w:val="baseline"/>
        <w:rPr>
          <w:rFonts w:ascii="Oswald" w:eastAsia="Times New Roman" w:hAnsi="Oswald" w:cs="Times New Roman"/>
          <w:color w:val="1155CC"/>
          <w:sz w:val="28"/>
          <w:szCs w:val="28"/>
          <w:u w:val="single"/>
          <w:shd w:val="clear" w:color="auto" w:fill="FFFFFF"/>
          <w:lang w:eastAsia="fr-FR"/>
        </w:rPr>
      </w:pPr>
    </w:p>
    <w:p w:rsidR="00011BFA" w:rsidRPr="005A2A8C" w:rsidRDefault="005A2A8C" w:rsidP="00D5675F">
      <w:pPr>
        <w:spacing w:after="240" w:line="240" w:lineRule="auto"/>
        <w:rPr>
          <w:rFonts w:ascii="Times New Roman" w:eastAsia="Times New Roman" w:hAnsi="Times New Roman" w:cs="Times New Roman"/>
          <w:sz w:val="24"/>
          <w:szCs w:val="24"/>
          <w:lang w:eastAsia="fr-FR"/>
        </w:rPr>
      </w:pPr>
      <w:r>
        <w:rPr>
          <w:rFonts w:ascii="Oswald" w:eastAsia="Times New Roman" w:hAnsi="Oswald" w:cs="Times New Roman"/>
          <w:b/>
          <w:bCs/>
          <w:color w:val="000000"/>
          <w:u w:val="single"/>
          <w:lang w:eastAsia="fr-FR"/>
        </w:rPr>
        <w:t xml:space="preserve">Rédigée par </w:t>
      </w:r>
      <w:r w:rsidRPr="00011BFA">
        <w:rPr>
          <w:rFonts w:ascii="Oswald" w:eastAsia="Times New Roman" w:hAnsi="Oswald" w:cs="Times New Roman"/>
          <w:b/>
          <w:bCs/>
          <w:color w:val="000000"/>
          <w:u w:val="single"/>
          <w:lang w:eastAsia="fr-FR"/>
        </w:rPr>
        <w:t>:</w:t>
      </w:r>
      <w:r>
        <w:rPr>
          <w:rFonts w:ascii="Oswald" w:eastAsia="Times New Roman" w:hAnsi="Oswald" w:cs="Times New Roman"/>
          <w:b/>
          <w:bCs/>
          <w:color w:val="000000"/>
          <w:u w:val="single"/>
          <w:lang w:eastAsia="fr-FR"/>
        </w:rPr>
        <w:t xml:space="preserve"> </w:t>
      </w:r>
      <w:r w:rsidRPr="005A2A8C">
        <w:rPr>
          <w:rFonts w:ascii="Oswald" w:eastAsia="Times New Roman" w:hAnsi="Oswald" w:cs="Times New Roman"/>
          <w:bCs/>
          <w:color w:val="000000"/>
          <w:lang w:eastAsia="fr-FR"/>
        </w:rPr>
        <w:t xml:space="preserve">Agnès Nicole </w:t>
      </w:r>
      <w:proofErr w:type="spellStart"/>
      <w:r w:rsidRPr="005A2A8C">
        <w:rPr>
          <w:rFonts w:ascii="Oswald" w:eastAsia="Times New Roman" w:hAnsi="Oswald" w:cs="Times New Roman"/>
          <w:bCs/>
          <w:color w:val="000000"/>
          <w:lang w:eastAsia="fr-FR"/>
        </w:rPr>
        <w:t>Mamonih</w:t>
      </w:r>
      <w:proofErr w:type="spellEnd"/>
      <w:r w:rsidRPr="005A2A8C">
        <w:rPr>
          <w:rFonts w:ascii="Oswald" w:eastAsia="Times New Roman" w:hAnsi="Oswald" w:cs="Times New Roman"/>
          <w:bCs/>
          <w:color w:val="000000"/>
          <w:lang w:eastAsia="fr-FR"/>
        </w:rPr>
        <w:t xml:space="preserve"> </w:t>
      </w:r>
    </w:p>
    <w:p w:rsidR="00D5675F" w:rsidRPr="00541D38" w:rsidRDefault="00011BFA" w:rsidP="00D5675F">
      <w:pPr>
        <w:jc w:val="both"/>
        <w:rPr>
          <w:sz w:val="24"/>
          <w:szCs w:val="24"/>
        </w:rPr>
      </w:pPr>
      <w:r w:rsidRPr="00011BFA">
        <w:rPr>
          <w:rFonts w:ascii="Oswald" w:eastAsia="Times New Roman" w:hAnsi="Oswald" w:cs="Times New Roman"/>
          <w:b/>
          <w:bCs/>
          <w:color w:val="000000"/>
          <w:u w:val="single"/>
          <w:lang w:eastAsia="fr-FR"/>
        </w:rPr>
        <w:t>Idée clé :</w:t>
      </w:r>
      <w:r w:rsidR="00D5675F">
        <w:rPr>
          <w:rFonts w:ascii="Oswald" w:eastAsia="Times New Roman" w:hAnsi="Oswald" w:cs="Times New Roman"/>
          <w:b/>
          <w:bCs/>
          <w:color w:val="000000"/>
          <w:u w:val="single"/>
          <w:lang w:eastAsia="fr-FR"/>
        </w:rPr>
        <w:t xml:space="preserve">  </w:t>
      </w:r>
      <w:r w:rsidR="00D5675F" w:rsidRPr="00541D38">
        <w:rPr>
          <w:sz w:val="24"/>
          <w:szCs w:val="24"/>
        </w:rPr>
        <w:t>Le suivi et l’évaluation : un outil indispensable au développement</w:t>
      </w:r>
      <w:r w:rsidR="00D5675F">
        <w:rPr>
          <w:sz w:val="24"/>
          <w:szCs w:val="24"/>
        </w:rPr>
        <w:t xml:space="preserve"> d’un projet</w:t>
      </w:r>
    </w:p>
    <w:p w:rsidR="00D5675F" w:rsidRPr="00541D38" w:rsidRDefault="00D5675F" w:rsidP="00D5675F">
      <w:pPr>
        <w:jc w:val="both"/>
        <w:rPr>
          <w:sz w:val="24"/>
          <w:szCs w:val="24"/>
        </w:rPr>
      </w:pPr>
      <w:r w:rsidRPr="00541D38">
        <w:rPr>
          <w:sz w:val="24"/>
          <w:szCs w:val="24"/>
        </w:rPr>
        <w:t xml:space="preserve">Nous ne pouvons pas parler de développement sans pour autant considérer le volet suivi-évaluation. Ledit volet intervient à toutes les étapes d’un programme, projet ou action. </w:t>
      </w:r>
    </w:p>
    <w:p w:rsidR="00D5675F" w:rsidRPr="00541D38" w:rsidRDefault="00D5675F" w:rsidP="00D5675F">
      <w:pPr>
        <w:jc w:val="both"/>
        <w:rPr>
          <w:sz w:val="24"/>
          <w:szCs w:val="24"/>
        </w:rPr>
      </w:pPr>
      <w:r w:rsidRPr="00541D38">
        <w:rPr>
          <w:sz w:val="24"/>
          <w:szCs w:val="24"/>
        </w:rPr>
        <w:t xml:space="preserve">Tout d’abord à la phase d’identification ou de conception, le suivi-évaluation ici se voit comme cet outil qui permet d’évaluer d’abord l’existant, pour déceler les problèmes </w:t>
      </w:r>
      <w:r>
        <w:rPr>
          <w:sz w:val="24"/>
          <w:szCs w:val="24"/>
        </w:rPr>
        <w:t xml:space="preserve">et leurs causes </w:t>
      </w:r>
      <w:r w:rsidRPr="00541D38">
        <w:rPr>
          <w:sz w:val="24"/>
          <w:szCs w:val="24"/>
        </w:rPr>
        <w:t xml:space="preserve">afin d’identifier les besoins réels des secteurs qui nécessitent un changement. Il permet aussi d’examiner tous les contours possibles pour répondre à la question « apportons-nous une différence » ?  Le suivi-évaluation permettra en plus de définir les objectifs précis qui répondront aux attentes réelles d’une part, d’examiner la faisabilité des activités à réaliser en accord avec les objectifs et selon les moyens financiers, humains et matériels disponibles. Ainsi donc, l’impact attendu pourra être mesuré et perçu par les bénéficiaires, traduit par l’amélioration de l’environnement ayant subi l’intervention du projet.   </w:t>
      </w:r>
    </w:p>
    <w:p w:rsidR="00D5675F" w:rsidRDefault="00D5675F" w:rsidP="00D5675F">
      <w:pPr>
        <w:jc w:val="both"/>
        <w:rPr>
          <w:sz w:val="24"/>
          <w:szCs w:val="24"/>
        </w:rPr>
      </w:pPr>
      <w:r w:rsidRPr="00541D38">
        <w:rPr>
          <w:sz w:val="24"/>
          <w:szCs w:val="24"/>
        </w:rPr>
        <w:t xml:space="preserve">Pour que le suivi-évaluation soit efficace, il ne doit pas être perçu comme une contrainte des bailleurs mais plutôt comme un outil d’administration, de prise de décision, indispensable pour atteindre les facteurs de changement attendus. </w:t>
      </w:r>
      <w:r>
        <w:rPr>
          <w:sz w:val="24"/>
          <w:szCs w:val="24"/>
        </w:rPr>
        <w:t xml:space="preserve">Les plans ainsi définis comme le Cadre de résultats ou le cadre logique ne devraient être pas être des éléments immuables. Quelque fois, ils doivent subir des modifications en tenant compte des contextes. Les données collectées à la phase d’identification du projet peuvent avoir une autre réalité lors de la mise en œuvre du projet. Il faut alors procéder à des ajustements pour traduire efficacement les effets produits suite à l’intervention du projet.  </w:t>
      </w:r>
    </w:p>
    <w:p w:rsidR="00D5675F" w:rsidRDefault="00D5675F" w:rsidP="00D5675F">
      <w:pPr>
        <w:jc w:val="both"/>
        <w:rPr>
          <w:sz w:val="24"/>
          <w:szCs w:val="24"/>
        </w:rPr>
      </w:pPr>
      <w:r>
        <w:rPr>
          <w:sz w:val="24"/>
          <w:szCs w:val="24"/>
        </w:rPr>
        <w:t xml:space="preserve">Le suivi-évaluation est un outil de grande valeur que s’il est utilisé efficacement pour planifier les activités, suivre la réalisation desdites activités physiquement et financièrement, déceler les écarts et proposer des recommandations. </w:t>
      </w:r>
    </w:p>
    <w:p w:rsidR="00011BFA" w:rsidRPr="00011BFA" w:rsidRDefault="00011BFA" w:rsidP="00011BFA">
      <w:pPr>
        <w:spacing w:after="800" w:line="240" w:lineRule="auto"/>
        <w:rPr>
          <w:rFonts w:ascii="Times New Roman" w:eastAsia="Times New Roman" w:hAnsi="Times New Roman" w:cs="Times New Roman"/>
          <w:sz w:val="24"/>
          <w:szCs w:val="24"/>
          <w:lang w:eastAsia="fr-FR"/>
        </w:rPr>
      </w:pPr>
    </w:p>
    <w:p w:rsidR="00C80A04" w:rsidRDefault="00011BFA" w:rsidP="00011BFA">
      <w:r w:rsidRPr="00011BFA">
        <w:rPr>
          <w:rFonts w:ascii="Times New Roman" w:eastAsia="Times New Roman" w:hAnsi="Times New Roman" w:cs="Times New Roman"/>
          <w:sz w:val="24"/>
          <w:szCs w:val="24"/>
          <w:lang w:eastAsia="fr-FR"/>
        </w:rPr>
        <w:br/>
      </w:r>
    </w:p>
    <w:sectPr w:rsidR="00C80A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Oswald">
    <w:altName w:val="Arial Narrow"/>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749"/>
    <w:multiLevelType w:val="multilevel"/>
    <w:tmpl w:val="4766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E13A3"/>
    <w:multiLevelType w:val="multilevel"/>
    <w:tmpl w:val="0F3E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81B86"/>
    <w:multiLevelType w:val="multilevel"/>
    <w:tmpl w:val="2C58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15305"/>
    <w:multiLevelType w:val="multilevel"/>
    <w:tmpl w:val="56E4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21824"/>
    <w:multiLevelType w:val="multilevel"/>
    <w:tmpl w:val="9764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E24C1"/>
    <w:multiLevelType w:val="multilevel"/>
    <w:tmpl w:val="65D6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37744D"/>
    <w:multiLevelType w:val="multilevel"/>
    <w:tmpl w:val="E61E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0F49A4"/>
    <w:multiLevelType w:val="multilevel"/>
    <w:tmpl w:val="ACF8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DB21D3"/>
    <w:multiLevelType w:val="multilevel"/>
    <w:tmpl w:val="C5BC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BB416A"/>
    <w:multiLevelType w:val="multilevel"/>
    <w:tmpl w:val="999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AC5684"/>
    <w:multiLevelType w:val="multilevel"/>
    <w:tmpl w:val="8156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E30399"/>
    <w:multiLevelType w:val="multilevel"/>
    <w:tmpl w:val="5C2A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80207D"/>
    <w:multiLevelType w:val="multilevel"/>
    <w:tmpl w:val="0A70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3D0FBC"/>
    <w:multiLevelType w:val="multilevel"/>
    <w:tmpl w:val="80B8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9029F0"/>
    <w:multiLevelType w:val="multilevel"/>
    <w:tmpl w:val="540A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6B5C3A"/>
    <w:multiLevelType w:val="multilevel"/>
    <w:tmpl w:val="F03E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824A53"/>
    <w:multiLevelType w:val="multilevel"/>
    <w:tmpl w:val="17B0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5"/>
  </w:num>
  <w:num w:numId="4">
    <w:abstractNumId w:val="10"/>
  </w:num>
  <w:num w:numId="5">
    <w:abstractNumId w:val="4"/>
  </w:num>
  <w:num w:numId="6">
    <w:abstractNumId w:val="3"/>
  </w:num>
  <w:num w:numId="7">
    <w:abstractNumId w:val="9"/>
  </w:num>
  <w:num w:numId="8">
    <w:abstractNumId w:val="8"/>
  </w:num>
  <w:num w:numId="9">
    <w:abstractNumId w:val="6"/>
  </w:num>
  <w:num w:numId="10">
    <w:abstractNumId w:val="12"/>
  </w:num>
  <w:num w:numId="11">
    <w:abstractNumId w:val="13"/>
  </w:num>
  <w:num w:numId="12">
    <w:abstractNumId w:val="2"/>
  </w:num>
  <w:num w:numId="13">
    <w:abstractNumId w:val="7"/>
  </w:num>
  <w:num w:numId="14">
    <w:abstractNumId w:val="16"/>
  </w:num>
  <w:num w:numId="15">
    <w:abstractNumId w:val="11"/>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BFA"/>
    <w:rsid w:val="00011BFA"/>
    <w:rsid w:val="00326525"/>
    <w:rsid w:val="005A2A8C"/>
    <w:rsid w:val="0061043C"/>
    <w:rsid w:val="006C1739"/>
    <w:rsid w:val="00C80A04"/>
    <w:rsid w:val="00D50592"/>
    <w:rsid w:val="00D567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806EC-B8DB-4DA7-A82B-68B9108B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11B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11BFA"/>
    <w:rPr>
      <w:color w:val="0000FF"/>
      <w:u w:val="single"/>
    </w:rPr>
  </w:style>
  <w:style w:type="character" w:customStyle="1" w:styleId="apple-tab-span">
    <w:name w:val="apple-tab-span"/>
    <w:basedOn w:val="Policepardfaut"/>
    <w:rsid w:val="00011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47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val.fr/wp-content/uploads/2018/12/Le-suivi-et-l-Evaluation.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1902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PROJET-CAB</dc:creator>
  <cp:keywords/>
  <dc:description/>
  <cp:lastModifiedBy>Sébastien Galéa</cp:lastModifiedBy>
  <cp:revision>2</cp:revision>
  <dcterms:created xsi:type="dcterms:W3CDTF">2019-09-03T08:23:00Z</dcterms:created>
  <dcterms:modified xsi:type="dcterms:W3CDTF">2019-09-03T08:23:00Z</dcterms:modified>
</cp:coreProperties>
</file>