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D66" w:rsidRDefault="00105545">
      <w:pPr>
        <w:pStyle w:val="Titre"/>
        <w:jc w:val="center"/>
        <w:rPr>
          <w:rFonts w:ascii="Oswald SemiBold" w:eastAsia="Oswald SemiBold" w:hAnsi="Oswald SemiBold" w:cs="Oswald SemiBold"/>
        </w:rPr>
      </w:pPr>
      <w:bookmarkStart w:id="0" w:name="_ha73rex8pyud" w:colFirst="0" w:colLast="0"/>
      <w:bookmarkEnd w:id="0"/>
      <w:r>
        <w:rPr>
          <w:rFonts w:ascii="Oswald SemiBold" w:eastAsia="Oswald SemiBold" w:hAnsi="Oswald SemiBold" w:cs="Oswald SemiBold"/>
        </w:rPr>
        <w:t>Conseils de lecture</w:t>
      </w:r>
    </w:p>
    <w:p w:rsidR="00766D66" w:rsidRDefault="00766D66"/>
    <w:p w:rsidR="00064595" w:rsidRDefault="00064595">
      <w:pPr>
        <w:rPr>
          <w:rFonts w:ascii="Oswald" w:eastAsia="Oswald" w:hAnsi="Oswald" w:cs="Oswald"/>
        </w:rPr>
      </w:pPr>
    </w:p>
    <w:p w:rsidR="00107CAD" w:rsidRPr="00CC0321" w:rsidRDefault="00105545" w:rsidP="00107CAD">
      <w:pPr>
        <w:rPr>
          <w:rFonts w:ascii="Verdana" w:eastAsia="Oswald" w:hAnsi="Verdana" w:cs="Oswald"/>
          <w:b/>
          <w:u w:val="single"/>
        </w:rPr>
      </w:pPr>
      <w:r w:rsidRPr="00CC0321">
        <w:rPr>
          <w:rFonts w:ascii="Verdana" w:eastAsia="Oswald" w:hAnsi="Verdana" w:cs="Oswald"/>
          <w:b/>
          <w:u w:val="single"/>
        </w:rPr>
        <w:t>Intitulé de l’ouvrage choisi :</w:t>
      </w:r>
    </w:p>
    <w:p w:rsidR="00107CAD" w:rsidRDefault="009B6F0D" w:rsidP="00107CAD">
      <w:pPr>
        <w:rPr>
          <w:rFonts w:ascii="Verdana" w:eastAsia="Oswald" w:hAnsi="Verdana" w:cs="Oswald"/>
        </w:rPr>
      </w:pPr>
      <w:hyperlink r:id="rId7">
        <w:r w:rsidR="00107CAD" w:rsidRPr="00CC0321">
          <w:rPr>
            <w:rFonts w:ascii="Verdana" w:eastAsia="Oswald" w:hAnsi="Verdana" w:cs="Oswald"/>
            <w:color w:val="1155CC"/>
            <w:u w:val="single"/>
          </w:rPr>
          <w:t>Manuel de l’évaluation</w:t>
        </w:r>
      </w:hyperlink>
      <w:r w:rsidR="00107CAD" w:rsidRPr="00CC0321">
        <w:rPr>
          <w:rFonts w:ascii="Verdana" w:eastAsia="Oswald" w:hAnsi="Verdana" w:cs="Oswald"/>
        </w:rPr>
        <w:t>, Fonds international de développement agricole (FIDA), 2ème édition, décembre 2015</w:t>
      </w:r>
    </w:p>
    <w:p w:rsidR="00064595" w:rsidRDefault="00064595" w:rsidP="00107CAD">
      <w:pPr>
        <w:rPr>
          <w:rFonts w:ascii="Verdana" w:eastAsia="Oswald" w:hAnsi="Verdana" w:cs="Oswald"/>
          <w:b/>
          <w:u w:val="single"/>
        </w:rPr>
      </w:pPr>
    </w:p>
    <w:p w:rsidR="00064595" w:rsidRPr="00064595" w:rsidRDefault="00064595" w:rsidP="00064595">
      <w:pPr>
        <w:rPr>
          <w:rFonts w:ascii="Verdana" w:eastAsia="Oswald" w:hAnsi="Verdana" w:cs="Oswald"/>
        </w:rPr>
      </w:pPr>
      <w:r w:rsidRPr="00064595">
        <w:rPr>
          <w:rFonts w:ascii="Verdana" w:eastAsia="Oswald" w:hAnsi="Verdana" w:cs="Oswald"/>
          <w:b/>
          <w:u w:val="single"/>
        </w:rPr>
        <w:t>Rédigé par :</w:t>
      </w:r>
      <w:r w:rsidRPr="00064595">
        <w:rPr>
          <w:rFonts w:ascii="Verdana" w:eastAsia="Oswald" w:hAnsi="Verdana" w:cs="Oswald"/>
        </w:rPr>
        <w:t xml:space="preserve"> Emmanuel </w:t>
      </w:r>
      <w:proofErr w:type="spellStart"/>
      <w:r w:rsidRPr="00064595">
        <w:rPr>
          <w:rFonts w:ascii="Verdana" w:eastAsia="Oswald" w:hAnsi="Verdana" w:cs="Oswald"/>
        </w:rPr>
        <w:t>Nintunze</w:t>
      </w:r>
      <w:proofErr w:type="spellEnd"/>
    </w:p>
    <w:p w:rsidR="00064595" w:rsidRPr="00CC0321" w:rsidRDefault="00064595" w:rsidP="00107CAD">
      <w:pPr>
        <w:rPr>
          <w:rFonts w:ascii="Verdana" w:eastAsia="Oswald" w:hAnsi="Verdana" w:cs="Oswald"/>
          <w:b/>
          <w:u w:val="single"/>
        </w:rPr>
      </w:pPr>
    </w:p>
    <w:p w:rsidR="00107CAD" w:rsidRPr="00CC0321" w:rsidRDefault="00107CAD" w:rsidP="00107CAD">
      <w:pPr>
        <w:rPr>
          <w:rFonts w:ascii="Verdana" w:eastAsia="Oswald" w:hAnsi="Verdana" w:cs="Oswald"/>
          <w:b/>
          <w:u w:val="single"/>
        </w:rPr>
      </w:pPr>
    </w:p>
    <w:p w:rsidR="00766D66" w:rsidRPr="00CC0321" w:rsidRDefault="00105545" w:rsidP="00107CAD">
      <w:pPr>
        <w:rPr>
          <w:rFonts w:ascii="Verdana" w:eastAsia="Oswald" w:hAnsi="Verdana" w:cs="Oswald"/>
          <w:b/>
          <w:u w:val="single"/>
        </w:rPr>
      </w:pPr>
      <w:r w:rsidRPr="00CC0321">
        <w:rPr>
          <w:rFonts w:ascii="Verdana" w:eastAsia="Oswald" w:hAnsi="Verdana" w:cs="Oswald"/>
          <w:b/>
          <w:u w:val="single"/>
        </w:rPr>
        <w:t>Idée</w:t>
      </w:r>
      <w:r w:rsidR="00DE54C2" w:rsidRPr="00CC0321">
        <w:rPr>
          <w:rFonts w:ascii="Verdana" w:eastAsia="Oswald" w:hAnsi="Verdana" w:cs="Oswald"/>
          <w:b/>
          <w:u w:val="single"/>
        </w:rPr>
        <w:t>s</w:t>
      </w:r>
      <w:r w:rsidRPr="00CC0321">
        <w:rPr>
          <w:rFonts w:ascii="Verdana" w:eastAsia="Oswald" w:hAnsi="Verdana" w:cs="Oswald"/>
          <w:b/>
          <w:u w:val="single"/>
        </w:rPr>
        <w:t xml:space="preserve"> clé</w:t>
      </w:r>
      <w:r w:rsidR="00DE54C2" w:rsidRPr="00CC0321">
        <w:rPr>
          <w:rFonts w:ascii="Verdana" w:eastAsia="Oswald" w:hAnsi="Verdana" w:cs="Oswald"/>
          <w:b/>
          <w:u w:val="single"/>
        </w:rPr>
        <w:t>s</w:t>
      </w:r>
      <w:r w:rsidRPr="00CC0321">
        <w:rPr>
          <w:rFonts w:ascii="Verdana" w:eastAsia="Oswald" w:hAnsi="Verdana" w:cs="Oswald"/>
          <w:b/>
          <w:u w:val="single"/>
        </w:rPr>
        <w:t xml:space="preserve"> :</w:t>
      </w:r>
    </w:p>
    <w:p w:rsidR="007A2937" w:rsidRPr="00CC0321" w:rsidRDefault="007A2937" w:rsidP="007A2937">
      <w:pPr>
        <w:autoSpaceDE w:val="0"/>
        <w:autoSpaceDN w:val="0"/>
        <w:adjustRightInd w:val="0"/>
        <w:spacing w:line="240" w:lineRule="auto"/>
        <w:jc w:val="both"/>
        <w:rPr>
          <w:rFonts w:ascii="Verdana" w:hAnsi="Verdana" w:cs="HelveticaNeueLTStd-Lt"/>
          <w:color w:val="1A181C"/>
          <w:lang w:val="fr-CA"/>
        </w:rPr>
      </w:pPr>
    </w:p>
    <w:p w:rsidR="00A1210C" w:rsidRPr="00CC0321" w:rsidRDefault="00A1210C" w:rsidP="00B72CBA">
      <w:pPr>
        <w:pStyle w:val="Paragraphedeliste"/>
        <w:numPr>
          <w:ilvl w:val="0"/>
          <w:numId w:val="17"/>
        </w:numPr>
        <w:autoSpaceDE w:val="0"/>
        <w:autoSpaceDN w:val="0"/>
        <w:adjustRightInd w:val="0"/>
        <w:spacing w:line="240" w:lineRule="auto"/>
        <w:ind w:left="567"/>
        <w:jc w:val="both"/>
        <w:rPr>
          <w:rFonts w:ascii="Verdana" w:hAnsi="Verdana" w:cs="HelveticaNeueLTStd-Lt"/>
          <w:color w:val="1A181C"/>
          <w:lang w:val="fr-CA"/>
        </w:rPr>
      </w:pPr>
      <w:r w:rsidRPr="00CC0321">
        <w:rPr>
          <w:rFonts w:ascii="Verdana" w:hAnsi="Verdana" w:cs="HelveticaNeueLTStd-Lt"/>
          <w:color w:val="1A181C"/>
          <w:lang w:val="fr-CA"/>
        </w:rPr>
        <w:t xml:space="preserve">Le manuel contribue à assurer que les pratiques méthodologiques reflètent l’état des connaissances actuelles. </w:t>
      </w:r>
    </w:p>
    <w:p w:rsidR="00766D66" w:rsidRPr="00CC0321" w:rsidRDefault="00EE4663" w:rsidP="00B72CBA">
      <w:pPr>
        <w:pStyle w:val="Paragraphedeliste"/>
        <w:numPr>
          <w:ilvl w:val="0"/>
          <w:numId w:val="17"/>
        </w:numPr>
        <w:autoSpaceDE w:val="0"/>
        <w:autoSpaceDN w:val="0"/>
        <w:adjustRightInd w:val="0"/>
        <w:spacing w:line="240" w:lineRule="auto"/>
        <w:ind w:left="567"/>
        <w:jc w:val="both"/>
        <w:rPr>
          <w:rFonts w:ascii="Verdana" w:hAnsi="Verdana" w:cs="HelveticaNeueLTStd-Lt"/>
          <w:color w:val="1A181C"/>
          <w:lang w:val="fr-CA"/>
        </w:rPr>
      </w:pPr>
      <w:r w:rsidRPr="00CC0321">
        <w:rPr>
          <w:rFonts w:ascii="Verdana" w:hAnsi="Verdana" w:cs="HelveticaNeueLTStd-Lt"/>
          <w:color w:val="1A181C"/>
          <w:lang w:val="fr-CA"/>
        </w:rPr>
        <w:t>Les Directives du processus d’évaluation sont destinées à un usage interne par le personnel</w:t>
      </w:r>
      <w:r w:rsidR="00A53FC4" w:rsidRPr="00CC0321">
        <w:rPr>
          <w:rFonts w:ascii="Verdana" w:hAnsi="Verdana" w:cs="HelveticaNeueLTStd-Lt"/>
          <w:color w:val="1A181C"/>
          <w:lang w:val="fr-CA"/>
        </w:rPr>
        <w:t xml:space="preserve"> </w:t>
      </w:r>
      <w:r w:rsidRPr="00CC0321">
        <w:rPr>
          <w:rFonts w:ascii="Verdana" w:hAnsi="Verdana" w:cs="HelveticaNeueLTStd-Lt"/>
          <w:color w:val="1A181C"/>
          <w:lang w:val="fr-CA"/>
        </w:rPr>
        <w:t>: el</w:t>
      </w:r>
      <w:bookmarkStart w:id="1" w:name="_GoBack"/>
      <w:bookmarkEnd w:id="1"/>
      <w:r w:rsidRPr="00CC0321">
        <w:rPr>
          <w:rFonts w:ascii="Verdana" w:hAnsi="Verdana" w:cs="HelveticaNeueLTStd-Lt"/>
          <w:color w:val="1A181C"/>
          <w:lang w:val="fr-CA"/>
        </w:rPr>
        <w:t xml:space="preserve">les mettent l’accent sur les procédures et les directives administratives pour chacun des produits d’évaluation réalisé, alors que le manuel se concentre sur les aspects méthodologiques et techniques de l’évaluation. </w:t>
      </w:r>
    </w:p>
    <w:p w:rsidR="007430FE" w:rsidRPr="00CC0321" w:rsidRDefault="007A2937" w:rsidP="00B72CBA">
      <w:pPr>
        <w:pStyle w:val="Paragraphedeliste"/>
        <w:numPr>
          <w:ilvl w:val="0"/>
          <w:numId w:val="17"/>
        </w:numPr>
        <w:autoSpaceDE w:val="0"/>
        <w:autoSpaceDN w:val="0"/>
        <w:adjustRightInd w:val="0"/>
        <w:spacing w:line="240" w:lineRule="auto"/>
        <w:ind w:left="567"/>
        <w:jc w:val="both"/>
        <w:rPr>
          <w:rFonts w:ascii="Verdana" w:hAnsi="Verdana" w:cs="HelveticaNeueLTStd-Lt"/>
          <w:color w:val="1A181C"/>
          <w:lang w:val="fr-CA"/>
        </w:rPr>
      </w:pPr>
      <w:r w:rsidRPr="00CC0321">
        <w:rPr>
          <w:rFonts w:ascii="Verdana" w:hAnsi="Verdana" w:cs="HelveticaNeueLTStd-Lt"/>
          <w:color w:val="1A181C"/>
          <w:lang w:val="fr-CA"/>
        </w:rPr>
        <w:t xml:space="preserve">Intervenir en amont en faisant face à des problèmes et on s’efforce de trouver des solutions en aval </w:t>
      </w:r>
      <w:proofErr w:type="gramStart"/>
      <w:r w:rsidRPr="00CC0321">
        <w:rPr>
          <w:rFonts w:ascii="Verdana" w:hAnsi="Verdana" w:cs="HelveticaNeueLTStd-Lt"/>
          <w:color w:val="1A181C"/>
          <w:lang w:val="fr-CA"/>
        </w:rPr>
        <w:t>par  un</w:t>
      </w:r>
      <w:proofErr w:type="gramEnd"/>
      <w:r w:rsidRPr="00CC0321">
        <w:rPr>
          <w:rFonts w:ascii="Verdana" w:hAnsi="Verdana" w:cs="HelveticaNeueLTStd-Lt"/>
          <w:color w:val="1A181C"/>
          <w:lang w:val="fr-CA"/>
        </w:rPr>
        <w:t xml:space="preserve"> programme de développement durable sans exclusion.</w:t>
      </w:r>
    </w:p>
    <w:p w:rsidR="007A2937" w:rsidRPr="00CC0321" w:rsidRDefault="007A2937" w:rsidP="00B72CBA">
      <w:pPr>
        <w:pStyle w:val="Paragraphedeliste"/>
        <w:numPr>
          <w:ilvl w:val="0"/>
          <w:numId w:val="17"/>
        </w:numPr>
        <w:autoSpaceDE w:val="0"/>
        <w:autoSpaceDN w:val="0"/>
        <w:adjustRightInd w:val="0"/>
        <w:spacing w:line="240" w:lineRule="auto"/>
        <w:ind w:left="567"/>
        <w:jc w:val="both"/>
        <w:rPr>
          <w:rFonts w:ascii="Verdana" w:hAnsi="Verdana" w:cs="HelveticaNeueLTStd-Lt"/>
          <w:color w:val="1A181C"/>
          <w:lang w:val="fr-CA"/>
        </w:rPr>
      </w:pPr>
      <w:r w:rsidRPr="00CC0321">
        <w:rPr>
          <w:rFonts w:ascii="Verdana" w:hAnsi="Verdana" w:cs="HelveticaNeueLTStd-Lt"/>
          <w:color w:val="1A181C"/>
          <w:lang w:val="fr-CA"/>
        </w:rPr>
        <w:t xml:space="preserve">Prise en considération des petits agriculteurs en valorisant le rôle joué par eux. </w:t>
      </w:r>
    </w:p>
    <w:p w:rsidR="00B72CBA" w:rsidRPr="00CC0321" w:rsidRDefault="00B72CBA" w:rsidP="00B72CBA">
      <w:pPr>
        <w:pStyle w:val="Paragraphedeliste"/>
        <w:numPr>
          <w:ilvl w:val="0"/>
          <w:numId w:val="17"/>
        </w:numPr>
        <w:autoSpaceDE w:val="0"/>
        <w:autoSpaceDN w:val="0"/>
        <w:adjustRightInd w:val="0"/>
        <w:spacing w:line="240" w:lineRule="auto"/>
        <w:ind w:left="567"/>
        <w:jc w:val="both"/>
        <w:rPr>
          <w:rFonts w:ascii="Verdana" w:hAnsi="Verdana" w:cs="HelveticaNeueLTStd-Lt"/>
          <w:color w:val="1A181C"/>
          <w:lang w:val="fr-CA"/>
        </w:rPr>
      </w:pPr>
      <w:r w:rsidRPr="00CC0321">
        <w:rPr>
          <w:rFonts w:ascii="Verdana" w:hAnsi="Verdana" w:cs="HelveticaNeueLTStd-Lt"/>
          <w:color w:val="1A181C"/>
          <w:lang w:val="fr-CA"/>
        </w:rPr>
        <w:t xml:space="preserve">Composantes de l’évaluation : des missions de supervision périodiques, un examen à mi-parcours, des évaluations de l’impact rigoureuses. </w:t>
      </w:r>
    </w:p>
    <w:p w:rsidR="007A2937" w:rsidRPr="00CC0321" w:rsidRDefault="00B72CBA" w:rsidP="00B72CBA">
      <w:pPr>
        <w:pStyle w:val="Paragraphedeliste"/>
        <w:numPr>
          <w:ilvl w:val="0"/>
          <w:numId w:val="17"/>
        </w:numPr>
        <w:autoSpaceDE w:val="0"/>
        <w:autoSpaceDN w:val="0"/>
        <w:adjustRightInd w:val="0"/>
        <w:spacing w:line="240" w:lineRule="auto"/>
        <w:ind w:left="567"/>
        <w:jc w:val="both"/>
        <w:rPr>
          <w:rFonts w:ascii="Verdana" w:eastAsia="Oswald Light" w:hAnsi="Verdana" w:cs="Oswald Light"/>
        </w:rPr>
      </w:pPr>
      <w:r w:rsidRPr="00CC0321">
        <w:rPr>
          <w:rFonts w:ascii="Verdana" w:hAnsi="Verdana" w:cs="HelveticaNeueLTStd-Lt"/>
          <w:color w:val="1A181C"/>
          <w:lang w:val="fr-CA"/>
        </w:rPr>
        <w:t>Le système d’autoévaluation inclut d’autres instruments : le Système de gestion des résultats et de l’impact (SYGRI), des enquêtes menées auprès des clients, des examens trimestriels de la performance organisationnelle et des examens annuels du portefeuille. Ces produits d’autoévaluation, et d’autres, contribuent de manière essentielle aux activités de l’évaluation indépendante.</w:t>
      </w:r>
    </w:p>
    <w:p w:rsidR="007430FE" w:rsidRPr="00CC0321" w:rsidRDefault="007430FE" w:rsidP="00B72CBA">
      <w:pPr>
        <w:jc w:val="both"/>
        <w:rPr>
          <w:rFonts w:ascii="Verdana" w:eastAsia="Oswald Light" w:hAnsi="Verdana" w:cs="Oswald Light"/>
        </w:rPr>
      </w:pPr>
    </w:p>
    <w:p w:rsidR="007430FE" w:rsidRPr="00CC0321" w:rsidRDefault="007430FE" w:rsidP="00107CAD">
      <w:pPr>
        <w:jc w:val="both"/>
        <w:rPr>
          <w:rFonts w:ascii="Oswald Light" w:eastAsia="Oswald Light" w:hAnsi="Oswald Light" w:cs="Oswald Light"/>
        </w:rPr>
      </w:pPr>
    </w:p>
    <w:sectPr w:rsidR="007430FE" w:rsidRPr="00CC0321">
      <w:headerReference w:type="default" r:id="rId8"/>
      <w:footerReference w:type="default" r:id="rId9"/>
      <w:pgSz w:w="11909" w:h="16834"/>
      <w:pgMar w:top="1440" w:right="1440" w:bottom="1440" w:left="1440" w:header="680"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F0D" w:rsidRDefault="009B6F0D">
      <w:pPr>
        <w:spacing w:line="240" w:lineRule="auto"/>
      </w:pPr>
      <w:r>
        <w:separator/>
      </w:r>
    </w:p>
  </w:endnote>
  <w:endnote w:type="continuationSeparator" w:id="0">
    <w:p w:rsidR="009B6F0D" w:rsidRDefault="009B6F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swald SemiBold">
    <w:altName w:val="Times New Roman"/>
    <w:panose1 w:val="020B0604020202020204"/>
    <w:charset w:val="00"/>
    <w:family w:val="auto"/>
    <w:pitch w:val="default"/>
  </w:font>
  <w:font w:name="Oswald">
    <w:altName w:val="Arial Narrow"/>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HelveticaNeueLTStd-Lt">
    <w:panose1 w:val="020B0604020202020204"/>
    <w:charset w:val="00"/>
    <w:family w:val="swiss"/>
    <w:notTrueType/>
    <w:pitch w:val="default"/>
    <w:sig w:usb0="00000003" w:usb1="00000000" w:usb2="00000000" w:usb3="00000000" w:csb0="00000001" w:csb1="00000000"/>
  </w:font>
  <w:font w:name="Oswald Light">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D66" w:rsidRDefault="00105545">
    <w:pPr>
      <w:jc w:val="right"/>
    </w:pPr>
    <w:r>
      <w:fldChar w:fldCharType="begin"/>
    </w:r>
    <w:r>
      <w:instrText>PAGE</w:instrText>
    </w:r>
    <w:r>
      <w:fldChar w:fldCharType="separate"/>
    </w:r>
    <w:r w:rsidR="0099036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F0D" w:rsidRDefault="009B6F0D">
      <w:pPr>
        <w:spacing w:line="240" w:lineRule="auto"/>
      </w:pPr>
      <w:r>
        <w:separator/>
      </w:r>
    </w:p>
  </w:footnote>
  <w:footnote w:type="continuationSeparator" w:id="0">
    <w:p w:rsidR="009B6F0D" w:rsidRDefault="009B6F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D66" w:rsidRDefault="00766D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6EE2"/>
    <w:multiLevelType w:val="multilevel"/>
    <w:tmpl w:val="5D3E9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135DE3"/>
    <w:multiLevelType w:val="multilevel"/>
    <w:tmpl w:val="27846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496583"/>
    <w:multiLevelType w:val="multilevel"/>
    <w:tmpl w:val="5F8C1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C43069"/>
    <w:multiLevelType w:val="multilevel"/>
    <w:tmpl w:val="BE649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B97C29"/>
    <w:multiLevelType w:val="hybridMultilevel"/>
    <w:tmpl w:val="01B25DC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D241AF0"/>
    <w:multiLevelType w:val="multilevel"/>
    <w:tmpl w:val="54DC0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BF346F"/>
    <w:multiLevelType w:val="multilevel"/>
    <w:tmpl w:val="82162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C447852"/>
    <w:multiLevelType w:val="multilevel"/>
    <w:tmpl w:val="435802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162326C"/>
    <w:multiLevelType w:val="multilevel"/>
    <w:tmpl w:val="2B468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AA3109D"/>
    <w:multiLevelType w:val="multilevel"/>
    <w:tmpl w:val="00E49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B2762A"/>
    <w:multiLevelType w:val="multilevel"/>
    <w:tmpl w:val="E9145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41E44DB"/>
    <w:multiLevelType w:val="multilevel"/>
    <w:tmpl w:val="70388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7662B8B"/>
    <w:multiLevelType w:val="multilevel"/>
    <w:tmpl w:val="3C4EF4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CE42EE2"/>
    <w:multiLevelType w:val="multilevel"/>
    <w:tmpl w:val="A4A84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CEB3717"/>
    <w:multiLevelType w:val="multilevel"/>
    <w:tmpl w:val="43D01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8D149E0"/>
    <w:multiLevelType w:val="multilevel"/>
    <w:tmpl w:val="D0DADD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C4E0820"/>
    <w:multiLevelType w:val="multilevel"/>
    <w:tmpl w:val="B5A40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9"/>
  </w:num>
  <w:num w:numId="4">
    <w:abstractNumId w:val="13"/>
  </w:num>
  <w:num w:numId="5">
    <w:abstractNumId w:val="10"/>
  </w:num>
  <w:num w:numId="6">
    <w:abstractNumId w:val="14"/>
  </w:num>
  <w:num w:numId="7">
    <w:abstractNumId w:val="15"/>
  </w:num>
  <w:num w:numId="8">
    <w:abstractNumId w:val="8"/>
  </w:num>
  <w:num w:numId="9">
    <w:abstractNumId w:val="11"/>
  </w:num>
  <w:num w:numId="10">
    <w:abstractNumId w:val="2"/>
  </w:num>
  <w:num w:numId="11">
    <w:abstractNumId w:val="7"/>
  </w:num>
  <w:num w:numId="12">
    <w:abstractNumId w:val="16"/>
  </w:num>
  <w:num w:numId="13">
    <w:abstractNumId w:val="1"/>
  </w:num>
  <w:num w:numId="14">
    <w:abstractNumId w:val="3"/>
  </w:num>
  <w:num w:numId="15">
    <w:abstractNumId w:val="6"/>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66"/>
    <w:rsid w:val="00064595"/>
    <w:rsid w:val="00105545"/>
    <w:rsid w:val="00107CAD"/>
    <w:rsid w:val="007430FE"/>
    <w:rsid w:val="00766D66"/>
    <w:rsid w:val="007A2937"/>
    <w:rsid w:val="00990361"/>
    <w:rsid w:val="009B6F0D"/>
    <w:rsid w:val="00A1210C"/>
    <w:rsid w:val="00A53FC4"/>
    <w:rsid w:val="00B72CBA"/>
    <w:rsid w:val="00CC0321"/>
    <w:rsid w:val="00CD7505"/>
    <w:rsid w:val="00DE54C2"/>
    <w:rsid w:val="00EE466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DB701"/>
  <w15:docId w15:val="{1ECD8492-0D77-4899-BED6-26EC97CE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 w:eastAsia="fr-CA"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Paragraphedeliste">
    <w:name w:val="List Paragraph"/>
    <w:basedOn w:val="Normal"/>
    <w:uiPriority w:val="34"/>
    <w:qFormat/>
    <w:rsid w:val="00B72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al.fr/wp-content/uploads/2018/12/manuel_FIDA-eval.fr_.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1260</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Sébastien Galéa</cp:lastModifiedBy>
  <cp:revision>2</cp:revision>
  <dcterms:created xsi:type="dcterms:W3CDTF">2019-02-19T08:27:00Z</dcterms:created>
  <dcterms:modified xsi:type="dcterms:W3CDTF">2019-02-19T08:27:00Z</dcterms:modified>
</cp:coreProperties>
</file>