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DCC" w:rsidRPr="00437DCC" w:rsidRDefault="00437DCC" w:rsidP="00437DCC">
      <w:pPr>
        <w:pStyle w:val="NormalWeb"/>
        <w:spacing w:before="0" w:beforeAutospacing="0" w:after="0" w:afterAutospacing="0"/>
        <w:jc w:val="center"/>
        <w:rPr>
          <w:rFonts w:asciiTheme="minorHAnsi" w:hAnsiTheme="minorHAnsi"/>
          <w:sz w:val="22"/>
          <w:szCs w:val="22"/>
        </w:rPr>
      </w:pPr>
      <w:r w:rsidRPr="00437DCC">
        <w:rPr>
          <w:rFonts w:asciiTheme="minorHAnsi" w:hAnsiTheme="minorHAnsi"/>
          <w:b/>
          <w:bCs/>
          <w:color w:val="000000"/>
          <w:sz w:val="22"/>
          <w:szCs w:val="22"/>
        </w:rPr>
        <w:t>Fiche de lecture</w:t>
      </w:r>
    </w:p>
    <w:p w:rsidR="00437DCC" w:rsidRPr="00437DCC" w:rsidRDefault="00437DCC" w:rsidP="00437DCC"/>
    <w:p w:rsidR="00437DCC" w:rsidRPr="00437DCC" w:rsidRDefault="00437DCC" w:rsidP="00437DCC">
      <w:pPr>
        <w:pStyle w:val="NormalWeb"/>
        <w:spacing w:before="0" w:beforeAutospacing="0" w:after="0" w:afterAutospacing="0"/>
        <w:rPr>
          <w:rFonts w:asciiTheme="minorHAnsi" w:hAnsiTheme="minorHAnsi"/>
          <w:sz w:val="22"/>
          <w:szCs w:val="22"/>
        </w:rPr>
      </w:pPr>
      <w:hyperlink r:id="rId5" w:history="1">
        <w:r w:rsidRPr="00437DCC">
          <w:rPr>
            <w:rStyle w:val="Lienhypertexte"/>
            <w:rFonts w:asciiTheme="minorHAnsi" w:hAnsiTheme="minorHAnsi" w:cs="Arial"/>
            <w:color w:val="1155CC"/>
            <w:sz w:val="22"/>
            <w:szCs w:val="22"/>
          </w:rPr>
          <w:t>La (f</w:t>
        </w:r>
        <w:proofErr w:type="gramStart"/>
        <w:r w:rsidRPr="00437DCC">
          <w:rPr>
            <w:rStyle w:val="Lienhypertexte"/>
            <w:rFonts w:asciiTheme="minorHAnsi" w:hAnsiTheme="minorHAnsi" w:cs="Arial"/>
            <w:color w:val="1155CC"/>
            <w:sz w:val="22"/>
            <w:szCs w:val="22"/>
          </w:rPr>
          <w:t>)utilité</w:t>
        </w:r>
        <w:proofErr w:type="gramEnd"/>
        <w:r w:rsidRPr="00437DCC">
          <w:rPr>
            <w:rStyle w:val="Lienhypertexte"/>
            <w:rFonts w:asciiTheme="minorHAnsi" w:hAnsiTheme="minorHAnsi" w:cs="Arial"/>
            <w:color w:val="1155CC"/>
            <w:sz w:val="22"/>
            <w:szCs w:val="22"/>
          </w:rPr>
          <w:t xml:space="preserve"> gouvernementale de l’évaluation des politiques publiques, quelques leçons américaines et françaises</w:t>
        </w:r>
      </w:hyperlink>
      <w:r w:rsidRPr="00437DCC">
        <w:rPr>
          <w:rFonts w:asciiTheme="minorHAnsi" w:hAnsiTheme="minorHAnsi" w:cs="Arial"/>
          <w:color w:val="000000"/>
          <w:sz w:val="22"/>
          <w:szCs w:val="22"/>
        </w:rPr>
        <w:t xml:space="preserve">, LIEPP </w:t>
      </w:r>
      <w:proofErr w:type="spellStart"/>
      <w:r w:rsidRPr="00437DCC">
        <w:rPr>
          <w:rFonts w:asciiTheme="minorHAnsi" w:hAnsiTheme="minorHAnsi" w:cs="Arial"/>
          <w:color w:val="000000"/>
          <w:sz w:val="22"/>
          <w:szCs w:val="22"/>
        </w:rPr>
        <w:t>Working</w:t>
      </w:r>
      <w:proofErr w:type="spellEnd"/>
      <w:r w:rsidRPr="00437DCC">
        <w:rPr>
          <w:rFonts w:asciiTheme="minorHAnsi" w:hAnsiTheme="minorHAnsi" w:cs="Arial"/>
          <w:color w:val="000000"/>
          <w:sz w:val="22"/>
          <w:szCs w:val="22"/>
        </w:rPr>
        <w:t xml:space="preserve"> Paper, Mars 2016</w:t>
      </w:r>
    </w:p>
    <w:p w:rsidR="00437DCC" w:rsidRPr="00437DCC" w:rsidRDefault="00437DCC" w:rsidP="00437DCC"/>
    <w:p w:rsidR="00437DCC" w:rsidRPr="00437DCC" w:rsidRDefault="00437DCC" w:rsidP="00437DCC">
      <w:pPr>
        <w:pStyle w:val="NormalWeb"/>
        <w:spacing w:before="0" w:beforeAutospacing="0" w:after="0" w:afterAutospacing="0"/>
        <w:rPr>
          <w:rFonts w:asciiTheme="minorHAnsi" w:hAnsiTheme="minorHAnsi"/>
          <w:sz w:val="22"/>
          <w:szCs w:val="22"/>
        </w:rPr>
      </w:pPr>
      <w:r w:rsidRPr="00437DCC">
        <w:rPr>
          <w:rFonts w:asciiTheme="minorHAnsi" w:hAnsiTheme="minorHAnsi" w:cs="Arial"/>
          <w:color w:val="000000"/>
          <w:sz w:val="22"/>
          <w:szCs w:val="22"/>
          <w:u w:val="single"/>
        </w:rPr>
        <w:t>Apprentissage central:</w:t>
      </w:r>
    </w:p>
    <w:p w:rsidR="00437DCC" w:rsidRPr="00437DCC" w:rsidRDefault="00437DCC" w:rsidP="00437DCC">
      <w:pPr>
        <w:pStyle w:val="NormalWeb"/>
        <w:spacing w:before="0" w:beforeAutospacing="0" w:after="0" w:afterAutospacing="0"/>
        <w:rPr>
          <w:rFonts w:asciiTheme="minorHAnsi" w:hAnsiTheme="minorHAnsi"/>
          <w:sz w:val="22"/>
          <w:szCs w:val="22"/>
        </w:rPr>
      </w:pPr>
      <w:r w:rsidRPr="00437DCC">
        <w:rPr>
          <w:rFonts w:asciiTheme="minorHAnsi" w:hAnsiTheme="minorHAnsi" w:cs="Arial"/>
          <w:color w:val="000000"/>
          <w:sz w:val="22"/>
          <w:szCs w:val="22"/>
        </w:rPr>
        <w:t>En matière d’Evaluation des Politiques Publiques (EPP), il n’est guère possible de produire des travaux scientifiques à portée politique sans faire (un peu) de politique. Il s’agit d’accepter en toute conscience professionnelle de participer à des jeux de pouvoirs, avec des ressources à disposition, afin que moins d’évaluations ne soient condamnées à l’inutilité (pour cause de défauts technoscientifiques de fabrication). (p.15)</w:t>
      </w:r>
    </w:p>
    <w:p w:rsidR="00437DCC" w:rsidRPr="00437DCC" w:rsidRDefault="00437DCC" w:rsidP="00437DCC"/>
    <w:p w:rsidR="00437DCC" w:rsidRPr="00437DCC" w:rsidRDefault="00437DCC" w:rsidP="00437DCC">
      <w:pPr>
        <w:pStyle w:val="NormalWeb"/>
        <w:spacing w:before="0" w:beforeAutospacing="0" w:after="0" w:afterAutospacing="0"/>
        <w:rPr>
          <w:rFonts w:asciiTheme="minorHAnsi" w:hAnsiTheme="minorHAnsi"/>
          <w:sz w:val="22"/>
          <w:szCs w:val="22"/>
        </w:rPr>
      </w:pPr>
      <w:r w:rsidRPr="00437DCC">
        <w:rPr>
          <w:rFonts w:asciiTheme="minorHAnsi" w:hAnsiTheme="minorHAnsi" w:cs="Arial"/>
          <w:color w:val="000000"/>
          <w:sz w:val="22"/>
          <w:szCs w:val="22"/>
        </w:rPr>
        <w:t xml:space="preserve"> </w:t>
      </w:r>
      <w:r w:rsidRPr="00437DCC">
        <w:rPr>
          <w:rFonts w:asciiTheme="minorHAnsi" w:hAnsiTheme="minorHAnsi" w:cs="Arial"/>
          <w:color w:val="000000"/>
          <w:sz w:val="22"/>
          <w:szCs w:val="22"/>
          <w:u w:val="single"/>
        </w:rPr>
        <w:t>Idées clés :</w:t>
      </w:r>
    </w:p>
    <w:p w:rsidR="00437DCC" w:rsidRPr="00437DCC" w:rsidRDefault="00437DCC" w:rsidP="00437DCC">
      <w:pPr>
        <w:pStyle w:val="NormalWeb"/>
        <w:numPr>
          <w:ilvl w:val="0"/>
          <w:numId w:val="2"/>
        </w:numPr>
        <w:spacing w:before="0" w:beforeAutospacing="0" w:after="0" w:afterAutospacing="0"/>
        <w:textAlignment w:val="baseline"/>
        <w:rPr>
          <w:rFonts w:asciiTheme="minorHAnsi" w:hAnsiTheme="minorHAnsi" w:cs="Arial"/>
          <w:color w:val="000000"/>
          <w:sz w:val="22"/>
          <w:szCs w:val="22"/>
        </w:rPr>
      </w:pPr>
      <w:r w:rsidRPr="00437DCC">
        <w:rPr>
          <w:rFonts w:asciiTheme="minorHAnsi" w:hAnsiTheme="minorHAnsi" w:cs="Arial"/>
          <w:color w:val="000000"/>
          <w:sz w:val="22"/>
          <w:szCs w:val="22"/>
        </w:rPr>
        <w:t>En raison de la grande diversité des politiques publiques et de la complexité de chacune d’elles, une évaluation scientifique solide ne peut être que composite sur le plan méthodologique. […] Il s’agit de mettre en avant la valeur d’une approche méthodologique pluraliste et ad hoc. (p.4)</w:t>
      </w:r>
    </w:p>
    <w:p w:rsidR="00437DCC" w:rsidRPr="00437DCC" w:rsidRDefault="00437DCC" w:rsidP="00437DCC">
      <w:pPr>
        <w:rPr>
          <w:rFonts w:cs="Times New Roman"/>
        </w:rPr>
      </w:pPr>
    </w:p>
    <w:p w:rsidR="00437DCC" w:rsidRPr="00437DCC" w:rsidRDefault="00437DCC" w:rsidP="00437DCC">
      <w:pPr>
        <w:pStyle w:val="NormalWeb"/>
        <w:numPr>
          <w:ilvl w:val="0"/>
          <w:numId w:val="3"/>
        </w:numPr>
        <w:spacing w:before="0" w:beforeAutospacing="0" w:after="0" w:afterAutospacing="0"/>
        <w:textAlignment w:val="baseline"/>
        <w:rPr>
          <w:rFonts w:asciiTheme="minorHAnsi" w:hAnsiTheme="minorHAnsi" w:cs="Arial"/>
          <w:color w:val="000000"/>
          <w:sz w:val="22"/>
          <w:szCs w:val="22"/>
        </w:rPr>
      </w:pPr>
      <w:r w:rsidRPr="00437DCC">
        <w:rPr>
          <w:rFonts w:asciiTheme="minorHAnsi" w:hAnsiTheme="minorHAnsi" w:cs="Arial"/>
          <w:color w:val="000000"/>
          <w:sz w:val="22"/>
          <w:szCs w:val="22"/>
        </w:rPr>
        <w:t>Un des grand défis (pour une EPP « utile/utilisée ») tient à la synchronisation du déroulement de l’EPP et de la vie de la politique évaluée elle-même. (p.5)</w:t>
      </w:r>
    </w:p>
    <w:p w:rsidR="00437DCC" w:rsidRPr="00437DCC" w:rsidRDefault="00437DCC" w:rsidP="00437DCC">
      <w:pPr>
        <w:rPr>
          <w:rFonts w:cs="Times New Roman"/>
        </w:rPr>
      </w:pPr>
    </w:p>
    <w:p w:rsidR="00437DCC" w:rsidRPr="00437DCC" w:rsidRDefault="00437DCC" w:rsidP="00437DCC">
      <w:pPr>
        <w:pStyle w:val="NormalWeb"/>
        <w:numPr>
          <w:ilvl w:val="0"/>
          <w:numId w:val="4"/>
        </w:numPr>
        <w:spacing w:before="0" w:beforeAutospacing="0" w:after="0" w:afterAutospacing="0"/>
        <w:textAlignment w:val="baseline"/>
        <w:rPr>
          <w:rFonts w:asciiTheme="minorHAnsi" w:hAnsiTheme="minorHAnsi" w:cs="Arial"/>
          <w:color w:val="000000"/>
          <w:sz w:val="22"/>
          <w:szCs w:val="22"/>
        </w:rPr>
      </w:pPr>
      <w:r w:rsidRPr="00437DCC">
        <w:rPr>
          <w:rFonts w:asciiTheme="minorHAnsi" w:hAnsiTheme="minorHAnsi" w:cs="Arial"/>
          <w:color w:val="000000"/>
          <w:sz w:val="22"/>
          <w:szCs w:val="22"/>
        </w:rPr>
        <w:t>L’influence d’une EPP dépend largement de la plus ou moins grande congruence globale de ses résultats avec les positionnements des acteurs principaux de la politique évaluée. (p.7)</w:t>
      </w:r>
    </w:p>
    <w:p w:rsidR="00437DCC" w:rsidRPr="00437DCC" w:rsidRDefault="00437DCC" w:rsidP="00437DCC">
      <w:pPr>
        <w:rPr>
          <w:rFonts w:cs="Times New Roman"/>
        </w:rPr>
      </w:pPr>
    </w:p>
    <w:p w:rsidR="00437DCC" w:rsidRPr="00437DCC" w:rsidRDefault="00437DCC" w:rsidP="00437DCC">
      <w:pPr>
        <w:pStyle w:val="NormalWeb"/>
        <w:numPr>
          <w:ilvl w:val="0"/>
          <w:numId w:val="5"/>
        </w:numPr>
        <w:spacing w:before="0" w:beforeAutospacing="0" w:after="0" w:afterAutospacing="0"/>
        <w:textAlignment w:val="baseline"/>
        <w:rPr>
          <w:rFonts w:asciiTheme="minorHAnsi" w:hAnsiTheme="minorHAnsi" w:cs="Arial"/>
          <w:color w:val="000000"/>
          <w:sz w:val="22"/>
          <w:szCs w:val="22"/>
        </w:rPr>
      </w:pPr>
      <w:r w:rsidRPr="00437DCC">
        <w:rPr>
          <w:rFonts w:asciiTheme="minorHAnsi" w:hAnsiTheme="minorHAnsi" w:cs="Arial"/>
          <w:color w:val="000000"/>
          <w:sz w:val="22"/>
          <w:szCs w:val="22"/>
        </w:rPr>
        <w:t>Une EPP est d’autant plus influente que son objet a été circonscrit en amont au sein d’espaces […] dans lesquels l’information est encore lacunaire et/ou controversée. (p.8)</w:t>
      </w:r>
    </w:p>
    <w:p w:rsidR="00437DCC" w:rsidRPr="00437DCC" w:rsidRDefault="00437DCC" w:rsidP="00437DCC">
      <w:pPr>
        <w:rPr>
          <w:rFonts w:cs="Times New Roman"/>
        </w:rPr>
      </w:pPr>
    </w:p>
    <w:p w:rsidR="00437DCC" w:rsidRPr="00437DCC" w:rsidRDefault="00437DCC" w:rsidP="00437DCC">
      <w:pPr>
        <w:pStyle w:val="NormalWeb"/>
        <w:numPr>
          <w:ilvl w:val="0"/>
          <w:numId w:val="6"/>
        </w:numPr>
        <w:spacing w:before="0" w:beforeAutospacing="0" w:after="0" w:afterAutospacing="0"/>
        <w:textAlignment w:val="baseline"/>
        <w:rPr>
          <w:rFonts w:asciiTheme="minorHAnsi" w:hAnsiTheme="minorHAnsi" w:cs="Arial"/>
          <w:color w:val="000000"/>
          <w:sz w:val="22"/>
          <w:szCs w:val="22"/>
        </w:rPr>
      </w:pPr>
      <w:r w:rsidRPr="00437DCC">
        <w:rPr>
          <w:rFonts w:asciiTheme="minorHAnsi" w:hAnsiTheme="minorHAnsi" w:cs="Arial"/>
          <w:color w:val="000000"/>
          <w:sz w:val="22"/>
          <w:szCs w:val="22"/>
        </w:rPr>
        <w:t>Dans une perspective postmoderne de l’</w:t>
      </w:r>
      <w:proofErr w:type="spellStart"/>
      <w:r w:rsidRPr="00437DCC">
        <w:rPr>
          <w:rFonts w:asciiTheme="minorHAnsi" w:hAnsiTheme="minorHAnsi" w:cs="Arial"/>
          <w:i/>
          <w:iCs/>
          <w:color w:val="000000"/>
          <w:sz w:val="22"/>
          <w:szCs w:val="22"/>
        </w:rPr>
        <w:t>utilization-focused</w:t>
      </w:r>
      <w:proofErr w:type="spellEnd"/>
      <w:r w:rsidRPr="00437DCC">
        <w:rPr>
          <w:rFonts w:asciiTheme="minorHAnsi" w:hAnsiTheme="minorHAnsi" w:cs="Arial"/>
          <w:i/>
          <w:iCs/>
          <w:color w:val="000000"/>
          <w:sz w:val="22"/>
          <w:szCs w:val="22"/>
        </w:rPr>
        <w:t xml:space="preserve"> </w:t>
      </w:r>
      <w:proofErr w:type="spellStart"/>
      <w:r w:rsidRPr="00437DCC">
        <w:rPr>
          <w:rFonts w:asciiTheme="minorHAnsi" w:hAnsiTheme="minorHAnsi" w:cs="Arial"/>
          <w:i/>
          <w:iCs/>
          <w:color w:val="000000"/>
          <w:sz w:val="22"/>
          <w:szCs w:val="22"/>
        </w:rPr>
        <w:t>evaluation</w:t>
      </w:r>
      <w:proofErr w:type="spellEnd"/>
      <w:r w:rsidRPr="00437DCC">
        <w:rPr>
          <w:rFonts w:asciiTheme="minorHAnsi" w:hAnsiTheme="minorHAnsi" w:cs="Arial"/>
          <w:i/>
          <w:iCs/>
          <w:color w:val="000000"/>
          <w:sz w:val="22"/>
          <w:szCs w:val="22"/>
        </w:rPr>
        <w:t xml:space="preserve"> </w:t>
      </w:r>
      <w:r w:rsidRPr="00437DCC">
        <w:rPr>
          <w:rFonts w:asciiTheme="minorHAnsi" w:hAnsiTheme="minorHAnsi" w:cs="Arial"/>
          <w:color w:val="000000"/>
          <w:sz w:val="22"/>
          <w:szCs w:val="22"/>
        </w:rPr>
        <w:t>– où le « scientifique » cogère la conduite de l’EPP avec le « profane » - c’est dans le processus d’interaction  […] que réside l’utilité d’une EPP. (p.10)</w:t>
      </w:r>
    </w:p>
    <w:p w:rsidR="00437DCC" w:rsidRPr="00437DCC" w:rsidRDefault="00437DCC" w:rsidP="00437DCC">
      <w:pPr>
        <w:rPr>
          <w:rFonts w:cs="Times New Roman"/>
        </w:rPr>
      </w:pPr>
      <w:bookmarkStart w:id="0" w:name="_GoBack"/>
      <w:bookmarkEnd w:id="0"/>
    </w:p>
    <w:p w:rsidR="00437DCC" w:rsidRPr="00437DCC" w:rsidRDefault="00437DCC" w:rsidP="00437DCC">
      <w:pPr>
        <w:pStyle w:val="NormalWeb"/>
        <w:numPr>
          <w:ilvl w:val="0"/>
          <w:numId w:val="7"/>
        </w:numPr>
        <w:spacing w:before="0" w:beforeAutospacing="0" w:after="0" w:afterAutospacing="0"/>
        <w:textAlignment w:val="baseline"/>
        <w:rPr>
          <w:rFonts w:asciiTheme="minorHAnsi" w:hAnsiTheme="minorHAnsi" w:cs="Arial"/>
          <w:color w:val="000000"/>
          <w:sz w:val="22"/>
          <w:szCs w:val="22"/>
        </w:rPr>
      </w:pPr>
      <w:r w:rsidRPr="00437DCC">
        <w:rPr>
          <w:rFonts w:asciiTheme="minorHAnsi" w:hAnsiTheme="minorHAnsi" w:cs="Arial"/>
          <w:color w:val="000000"/>
          <w:sz w:val="22"/>
          <w:szCs w:val="22"/>
        </w:rPr>
        <w:t>Beaucoup d’EPP sont utiles car elles remplissent diverses fonctions d’utilité portées par divers acteurs pris séparément. La question est de savoir si l’on peut combiner et agréger ces différentes fonctions d’utilité, de façon à produire des EPP globalement utilisables pour améliorer les politiques publiques. (p. 12)</w:t>
      </w:r>
    </w:p>
    <w:p w:rsidR="00437DCC" w:rsidRPr="00437DCC" w:rsidRDefault="00437DCC" w:rsidP="00437DCC">
      <w:pPr>
        <w:pStyle w:val="NormalWeb"/>
        <w:spacing w:before="0" w:beforeAutospacing="0" w:after="0" w:afterAutospacing="0"/>
        <w:ind w:left="720"/>
        <w:rPr>
          <w:rFonts w:asciiTheme="minorHAnsi" w:hAnsiTheme="minorHAnsi"/>
          <w:sz w:val="22"/>
          <w:szCs w:val="22"/>
        </w:rPr>
      </w:pPr>
      <w:r w:rsidRPr="00437DCC">
        <w:rPr>
          <w:rFonts w:asciiTheme="minorHAnsi" w:hAnsiTheme="minorHAnsi" w:cs="Arial"/>
          <w:color w:val="000000"/>
          <w:sz w:val="22"/>
          <w:szCs w:val="22"/>
        </w:rPr>
        <w:t xml:space="preserve"> </w:t>
      </w:r>
    </w:p>
    <w:p w:rsidR="00437DCC" w:rsidRPr="00437DCC" w:rsidRDefault="00437DCC" w:rsidP="00437DCC">
      <w:pPr>
        <w:pStyle w:val="NormalWeb"/>
        <w:numPr>
          <w:ilvl w:val="0"/>
          <w:numId w:val="8"/>
        </w:numPr>
        <w:spacing w:before="0" w:beforeAutospacing="0" w:after="0" w:afterAutospacing="0"/>
        <w:textAlignment w:val="baseline"/>
        <w:rPr>
          <w:rFonts w:asciiTheme="minorHAnsi" w:hAnsiTheme="minorHAnsi" w:cs="Arial"/>
          <w:color w:val="000000"/>
          <w:sz w:val="22"/>
          <w:szCs w:val="22"/>
        </w:rPr>
      </w:pPr>
      <w:r w:rsidRPr="00437DCC">
        <w:rPr>
          <w:rFonts w:asciiTheme="minorHAnsi" w:hAnsiTheme="minorHAnsi" w:cs="Arial"/>
          <w:color w:val="000000"/>
          <w:sz w:val="22"/>
          <w:szCs w:val="22"/>
        </w:rPr>
        <w:t xml:space="preserve">Intérêt de la notion d’« </w:t>
      </w:r>
      <w:proofErr w:type="spellStart"/>
      <w:r w:rsidRPr="00437DCC">
        <w:rPr>
          <w:rFonts w:asciiTheme="minorHAnsi" w:hAnsiTheme="minorHAnsi" w:cs="Arial"/>
          <w:color w:val="000000"/>
          <w:sz w:val="22"/>
          <w:szCs w:val="22"/>
        </w:rPr>
        <w:t>uchronie</w:t>
      </w:r>
      <w:proofErr w:type="spellEnd"/>
      <w:r w:rsidRPr="00437DCC">
        <w:rPr>
          <w:rFonts w:asciiTheme="minorHAnsi" w:hAnsiTheme="minorHAnsi" w:cs="Arial"/>
          <w:color w:val="000000"/>
          <w:sz w:val="22"/>
          <w:szCs w:val="22"/>
        </w:rPr>
        <w:t xml:space="preserve"> » : principe de la réécriture de l’histoire à partir de la modification d’un événement du passé. (Wikipédia) (p.6)</w:t>
      </w:r>
    </w:p>
    <w:p w:rsidR="00437DCC" w:rsidRPr="00437DCC" w:rsidRDefault="00437DCC" w:rsidP="00437DCC">
      <w:pPr>
        <w:pStyle w:val="NormalWeb"/>
        <w:spacing w:before="0" w:beforeAutospacing="0" w:after="0" w:afterAutospacing="0"/>
        <w:rPr>
          <w:rFonts w:asciiTheme="minorHAnsi" w:hAnsiTheme="minorHAnsi"/>
          <w:sz w:val="22"/>
          <w:szCs w:val="22"/>
        </w:rPr>
      </w:pPr>
      <w:r w:rsidRPr="00437DCC">
        <w:rPr>
          <w:rFonts w:asciiTheme="minorHAnsi" w:hAnsiTheme="minorHAnsi"/>
          <w:b/>
          <w:bCs/>
          <w:color w:val="000000"/>
          <w:sz w:val="22"/>
          <w:szCs w:val="22"/>
        </w:rPr>
        <w:t xml:space="preserve"> </w:t>
      </w:r>
    </w:p>
    <w:p w:rsidR="00437DCC" w:rsidRPr="00437DCC" w:rsidRDefault="00437DCC" w:rsidP="00437DCC">
      <w:pPr>
        <w:pStyle w:val="NormalWeb"/>
        <w:spacing w:before="0" w:beforeAutospacing="0" w:after="0" w:afterAutospacing="0"/>
        <w:rPr>
          <w:rFonts w:asciiTheme="minorHAnsi" w:hAnsiTheme="minorHAnsi"/>
          <w:sz w:val="22"/>
          <w:szCs w:val="22"/>
        </w:rPr>
      </w:pPr>
      <w:r w:rsidRPr="00437DCC">
        <w:rPr>
          <w:rFonts w:asciiTheme="minorHAnsi" w:hAnsiTheme="minorHAnsi"/>
          <w:b/>
          <w:bCs/>
          <w:color w:val="000000"/>
          <w:sz w:val="22"/>
          <w:szCs w:val="22"/>
        </w:rPr>
        <w:t xml:space="preserve"> </w:t>
      </w:r>
    </w:p>
    <w:p w:rsidR="00E07132" w:rsidRPr="00437DCC" w:rsidRDefault="00E07132" w:rsidP="00437DCC"/>
    <w:sectPr w:rsidR="00E07132" w:rsidRPr="00437D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75AA0"/>
    <w:multiLevelType w:val="multilevel"/>
    <w:tmpl w:val="0900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BF6F03"/>
    <w:multiLevelType w:val="hybridMultilevel"/>
    <w:tmpl w:val="39024C8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9E42E1E"/>
    <w:multiLevelType w:val="multilevel"/>
    <w:tmpl w:val="D6308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B60A5E"/>
    <w:multiLevelType w:val="multilevel"/>
    <w:tmpl w:val="CB08A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2523CA"/>
    <w:multiLevelType w:val="multilevel"/>
    <w:tmpl w:val="62A4C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6D4EB2"/>
    <w:multiLevelType w:val="multilevel"/>
    <w:tmpl w:val="6CB8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395E5F"/>
    <w:multiLevelType w:val="multilevel"/>
    <w:tmpl w:val="692C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E739A5"/>
    <w:multiLevelType w:val="multilevel"/>
    <w:tmpl w:val="3A067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6"/>
  </w:num>
  <w:num w:numId="4">
    <w:abstractNumId w:val="5"/>
  </w:num>
  <w:num w:numId="5">
    <w:abstractNumId w:val="3"/>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5FA"/>
    <w:rsid w:val="00437DCC"/>
    <w:rsid w:val="004575FA"/>
    <w:rsid w:val="004E7A04"/>
    <w:rsid w:val="00810D1B"/>
    <w:rsid w:val="008D03FA"/>
    <w:rsid w:val="00E07132"/>
    <w:rsid w:val="00F845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61556-8C28-4B1D-B8E9-52F5F0A6B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575FA"/>
    <w:rPr>
      <w:color w:val="0000FF"/>
      <w:u w:val="single"/>
    </w:rPr>
  </w:style>
  <w:style w:type="paragraph" w:styleId="Paragraphedeliste">
    <w:name w:val="List Paragraph"/>
    <w:basedOn w:val="Normal"/>
    <w:uiPriority w:val="34"/>
    <w:qFormat/>
    <w:rsid w:val="008D03FA"/>
    <w:pPr>
      <w:ind w:left="720"/>
      <w:contextualSpacing/>
    </w:pPr>
  </w:style>
  <w:style w:type="paragraph" w:styleId="NormalWeb">
    <w:name w:val="Normal (Web)"/>
    <w:basedOn w:val="Normal"/>
    <w:uiPriority w:val="99"/>
    <w:unhideWhenUsed/>
    <w:rsid w:val="00437DCC"/>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42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pire.sciencespo.fr/hdl:/2441/32ipedmmo59m5qkc28gtneb4do/resources/wp49-spenlehauer.pdf"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346</Words>
  <Characters>1909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Commission Communautaire Française</Company>
  <LinksUpToDate>false</LinksUpToDate>
  <CharactersWithSpaces>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GOLDWICHT</dc:creator>
  <cp:keywords/>
  <dc:description/>
  <cp:lastModifiedBy>Mira GOLDWICHT</cp:lastModifiedBy>
  <cp:revision>3</cp:revision>
  <dcterms:created xsi:type="dcterms:W3CDTF">2019-01-22T10:31:00Z</dcterms:created>
  <dcterms:modified xsi:type="dcterms:W3CDTF">2019-01-23T08:20:00Z</dcterms:modified>
</cp:coreProperties>
</file>